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5E" w:rsidRPr="00B57AEC" w:rsidRDefault="0015525E" w:rsidP="00B57AEC">
      <w:pPr>
        <w:jc w:val="both"/>
        <w:rPr>
          <w:rFonts w:ascii="Arial" w:eastAsia="Arial" w:hAnsi="Arial" w:cs="Arial"/>
        </w:rPr>
      </w:pPr>
    </w:p>
    <w:p w:rsidR="0015525E" w:rsidRPr="00B57AEC" w:rsidRDefault="00B76824" w:rsidP="001D4DE3">
      <w:pPr>
        <w:pStyle w:val="Ttulo1"/>
        <w:numPr>
          <w:ilvl w:val="0"/>
          <w:numId w:val="18"/>
        </w:numPr>
        <w:rPr>
          <w:b w:val="0"/>
        </w:rPr>
      </w:pPr>
      <w:bookmarkStart w:id="0" w:name="_3znysh7" w:colFirst="0" w:colLast="0"/>
      <w:bookmarkEnd w:id="0"/>
      <w:r w:rsidRPr="00B57AEC">
        <w:rPr>
          <w:b w:val="0"/>
        </w:rPr>
        <w:t>POLÍTICAS DE OPERACIÓN</w:t>
      </w:r>
    </w:p>
    <w:p w:rsidR="0015525E" w:rsidRPr="00B57AEC" w:rsidRDefault="0015525E" w:rsidP="00B57AEC">
      <w:pPr>
        <w:jc w:val="both"/>
        <w:rPr>
          <w:rFonts w:ascii="Arial" w:eastAsia="Arial" w:hAnsi="Arial" w:cs="Arial"/>
        </w:rPr>
      </w:pPr>
    </w:p>
    <w:p w:rsidR="0015525E" w:rsidRPr="00B57AEC" w:rsidRDefault="0015525E" w:rsidP="00B57AEC">
      <w:pPr>
        <w:jc w:val="both"/>
        <w:rPr>
          <w:rFonts w:ascii="Arial" w:eastAsia="Arial" w:hAnsi="Arial" w:cs="Arial"/>
        </w:rPr>
      </w:pPr>
    </w:p>
    <w:p w:rsidR="00B57AEC" w:rsidRPr="00B57AEC" w:rsidRDefault="00B57AEC" w:rsidP="00B57AEC">
      <w:pPr>
        <w:pStyle w:val="NormalWeb"/>
        <w:spacing w:before="0" w:beforeAutospacing="0" w:after="0" w:afterAutospacing="0"/>
        <w:jc w:val="both"/>
        <w:textAlignment w:val="baseline"/>
        <w:rPr>
          <w:rFonts w:ascii="Arial" w:hAnsi="Arial" w:cs="Arial"/>
          <w:color w:val="000000"/>
        </w:rPr>
      </w:pPr>
      <w:r w:rsidRPr="00B57AEC">
        <w:rPr>
          <w:rFonts w:ascii="Arial" w:hAnsi="Arial" w:cs="Arial"/>
          <w:color w:val="000000"/>
          <w:lang w:val="es-ES"/>
        </w:rPr>
        <w:t xml:space="preserve">4.1  </w:t>
      </w:r>
      <w:r w:rsidRPr="00B57AEC">
        <w:rPr>
          <w:rFonts w:ascii="Arial" w:hAnsi="Arial" w:cs="Arial"/>
          <w:color w:val="000000"/>
        </w:rPr>
        <w:t>El delegado del Comité tecnológico operativo de cada organismo debe garantiz</w:t>
      </w:r>
      <w:bookmarkStart w:id="1" w:name="_GoBack"/>
      <w:bookmarkEnd w:id="1"/>
      <w:r w:rsidRPr="00B57AEC">
        <w:rPr>
          <w:rFonts w:ascii="Arial" w:hAnsi="Arial" w:cs="Arial"/>
          <w:color w:val="000000"/>
        </w:rPr>
        <w:t>ar que los equipos de cómputo (</w:t>
      </w:r>
      <w:proofErr w:type="spellStart"/>
      <w:r w:rsidRPr="00B57AEC">
        <w:rPr>
          <w:rFonts w:ascii="Arial" w:hAnsi="Arial" w:cs="Arial"/>
          <w:color w:val="000000"/>
        </w:rPr>
        <w:t>PC’s</w:t>
      </w:r>
      <w:proofErr w:type="spellEnd"/>
      <w:r w:rsidRPr="00B57AEC">
        <w:rPr>
          <w:rFonts w:ascii="Arial" w:hAnsi="Arial" w:cs="Arial"/>
          <w:color w:val="000000"/>
        </w:rPr>
        <w:t>, servidores, equipos de comunicaciones, impresoras, scanner, entre otros) no sean movidos por funcionarios o contratistas para tener control de los activos de TI.</w:t>
      </w:r>
    </w:p>
    <w:p w:rsidR="00B57AEC" w:rsidRPr="00B57AEC" w:rsidRDefault="00B57AEC" w:rsidP="00B57AEC">
      <w:pPr>
        <w:jc w:val="both"/>
        <w:rPr>
          <w:rFonts w:ascii="Arial" w:hAnsi="Arial" w:cs="Arial"/>
        </w:rPr>
      </w:pPr>
      <w:r w:rsidRPr="00B57AEC">
        <w:rPr>
          <w:rFonts w:ascii="Arial" w:hAnsi="Arial" w:cs="Arial"/>
          <w:color w:val="000000"/>
        </w:rPr>
        <w:br/>
      </w:r>
      <w:r w:rsidRPr="00B57AEC">
        <w:rPr>
          <w:rFonts w:ascii="Arial" w:hAnsi="Arial" w:cs="Arial"/>
          <w:color w:val="000000"/>
        </w:rPr>
        <w:t xml:space="preserve">4.2  </w:t>
      </w:r>
      <w:r w:rsidRPr="00B57AEC">
        <w:rPr>
          <w:rFonts w:ascii="Arial" w:hAnsi="Arial" w:cs="Arial"/>
          <w:color w:val="000000"/>
        </w:rPr>
        <w:t>El Proceso Administración de las Tecnologías de la Información y las Comunicaciones debe definir estándares y especificaciones técnicas a considerar en la adquisición de activos informáticos, en la implementación de Sistemas de información y en la configuración de plataformas tecnológicas para contar con un único método de adquisición de tecnología.</w:t>
      </w:r>
    </w:p>
    <w:p w:rsidR="00B57AEC" w:rsidRPr="00B57AEC" w:rsidRDefault="00B57AEC" w:rsidP="00B57AEC">
      <w:pPr>
        <w:jc w:val="both"/>
        <w:rPr>
          <w:rFonts w:ascii="Arial" w:hAnsi="Arial" w:cs="Arial"/>
        </w:rPr>
      </w:pPr>
      <w:r w:rsidRPr="00B57AEC">
        <w:rPr>
          <w:rFonts w:ascii="Arial" w:hAnsi="Arial" w:cs="Arial"/>
          <w:color w:val="000000"/>
        </w:rPr>
        <w:br/>
      </w:r>
      <w:r w:rsidRPr="00B57AEC">
        <w:rPr>
          <w:rFonts w:ascii="Arial" w:hAnsi="Arial" w:cs="Arial"/>
          <w:color w:val="000000"/>
        </w:rPr>
        <w:t xml:space="preserve">4.3  </w:t>
      </w:r>
      <w:r w:rsidRPr="00B57AEC">
        <w:rPr>
          <w:rFonts w:ascii="Arial" w:hAnsi="Arial" w:cs="Arial"/>
          <w:color w:val="000000"/>
        </w:rPr>
        <w:t>Cada organismo debe seleccionar el personal para tecnologías de la información en función de un perfil específico diseñado por el proceso Administración de las Tecnologías de la Información y las Comunicaciones, y que esté capacitado para atender los requerimientos de las partes interesadas para simplificar los procesos y la eficiencia de la operación.</w:t>
      </w:r>
    </w:p>
    <w:p w:rsidR="00B57AEC" w:rsidRPr="00B57AEC" w:rsidRDefault="00B57AEC" w:rsidP="00B57AEC">
      <w:pPr>
        <w:jc w:val="both"/>
        <w:rPr>
          <w:rFonts w:ascii="Arial" w:hAnsi="Arial" w:cs="Arial"/>
        </w:rPr>
      </w:pPr>
      <w:r w:rsidRPr="00B57AEC">
        <w:rPr>
          <w:rFonts w:ascii="Arial" w:hAnsi="Arial" w:cs="Arial"/>
          <w:color w:val="000000"/>
        </w:rPr>
        <w:br/>
      </w:r>
      <w:r w:rsidRPr="00B57AEC">
        <w:rPr>
          <w:rFonts w:ascii="Arial" w:hAnsi="Arial" w:cs="Arial"/>
          <w:color w:val="000000"/>
        </w:rPr>
        <w:t xml:space="preserve">4.4  </w:t>
      </w:r>
      <w:r w:rsidRPr="00B57AEC">
        <w:rPr>
          <w:rFonts w:ascii="Arial" w:hAnsi="Arial" w:cs="Arial"/>
          <w:color w:val="000000"/>
        </w:rPr>
        <w:t>El Proceso Administración de las Tecnologías de la Información y las Comunicaciones debe controlar que los activos físicos de infraestructura de TI (</w:t>
      </w:r>
      <w:proofErr w:type="spellStart"/>
      <w:r w:rsidRPr="00B57AEC">
        <w:rPr>
          <w:rFonts w:ascii="Arial" w:hAnsi="Arial" w:cs="Arial"/>
          <w:color w:val="000000"/>
        </w:rPr>
        <w:t>switches</w:t>
      </w:r>
      <w:proofErr w:type="spellEnd"/>
      <w:r w:rsidRPr="00B57AEC">
        <w:rPr>
          <w:rFonts w:ascii="Arial" w:hAnsi="Arial" w:cs="Arial"/>
          <w:color w:val="000000"/>
        </w:rPr>
        <w:t xml:space="preserve">, </w:t>
      </w:r>
      <w:proofErr w:type="spellStart"/>
      <w:r w:rsidRPr="00B57AEC">
        <w:rPr>
          <w:rFonts w:ascii="Arial" w:hAnsi="Arial" w:cs="Arial"/>
          <w:color w:val="000000"/>
        </w:rPr>
        <w:t>routers</w:t>
      </w:r>
      <w:proofErr w:type="spellEnd"/>
      <w:r w:rsidRPr="00B57AEC">
        <w:rPr>
          <w:rFonts w:ascii="Arial" w:hAnsi="Arial" w:cs="Arial"/>
          <w:color w:val="000000"/>
        </w:rPr>
        <w:t>, servidores, entre otros) estén con los estándares de seguridad en cuartos cableados y con las condiciones ambientales apropiadas para su buena conservación.</w:t>
      </w:r>
    </w:p>
    <w:p w:rsidR="00B57AEC" w:rsidRPr="00B57AEC" w:rsidRDefault="00B57AEC" w:rsidP="00B57AEC">
      <w:pPr>
        <w:jc w:val="both"/>
        <w:rPr>
          <w:rFonts w:ascii="Arial" w:hAnsi="Arial" w:cs="Arial"/>
        </w:rPr>
      </w:pPr>
      <w:r w:rsidRPr="00B57AEC">
        <w:rPr>
          <w:rFonts w:ascii="Arial" w:hAnsi="Arial" w:cs="Arial"/>
          <w:color w:val="000000"/>
        </w:rPr>
        <w:br/>
      </w:r>
      <w:r w:rsidRPr="00B57AEC">
        <w:rPr>
          <w:rFonts w:ascii="Arial" w:hAnsi="Arial" w:cs="Arial"/>
          <w:color w:val="000000"/>
        </w:rPr>
        <w:t xml:space="preserve">4.5  </w:t>
      </w:r>
      <w:r w:rsidRPr="00B57AEC">
        <w:rPr>
          <w:rFonts w:ascii="Arial" w:hAnsi="Arial" w:cs="Arial"/>
          <w:color w:val="000000"/>
        </w:rPr>
        <w:t xml:space="preserve">El delegado del Comité tecnológico operativo de cada organismo debe ingresar y atender los requerimientos de soporte informático y tecnológico a través </w:t>
      </w:r>
      <w:proofErr w:type="gramStart"/>
      <w:r w:rsidRPr="00B57AEC">
        <w:rPr>
          <w:rFonts w:ascii="Arial" w:hAnsi="Arial" w:cs="Arial"/>
          <w:color w:val="000000"/>
        </w:rPr>
        <w:t>del aplicativo</w:t>
      </w:r>
      <w:proofErr w:type="gramEnd"/>
      <w:r w:rsidRPr="00B57AEC">
        <w:rPr>
          <w:rFonts w:ascii="Arial" w:hAnsi="Arial" w:cs="Arial"/>
          <w:color w:val="000000"/>
        </w:rPr>
        <w:t xml:space="preserve"> mesa de servicio para garantizar la trazabilidad de los requerimientos.</w:t>
      </w:r>
    </w:p>
    <w:p w:rsidR="00B57AEC" w:rsidRPr="00B57AEC" w:rsidRDefault="00B57AEC" w:rsidP="00B57AEC">
      <w:pPr>
        <w:jc w:val="both"/>
        <w:rPr>
          <w:rFonts w:ascii="Arial" w:hAnsi="Arial" w:cs="Arial"/>
        </w:rPr>
      </w:pPr>
      <w:r w:rsidRPr="00B57AEC">
        <w:rPr>
          <w:rFonts w:ascii="Arial" w:hAnsi="Arial" w:cs="Arial"/>
          <w:color w:val="000000"/>
        </w:rPr>
        <w:br/>
      </w:r>
      <w:r w:rsidRPr="00B57AEC">
        <w:rPr>
          <w:rFonts w:ascii="Arial" w:hAnsi="Arial" w:cs="Arial"/>
          <w:color w:val="000000"/>
        </w:rPr>
        <w:t xml:space="preserve">4.6  </w:t>
      </w:r>
      <w:r w:rsidRPr="00B57AEC">
        <w:rPr>
          <w:rFonts w:ascii="Arial" w:hAnsi="Arial" w:cs="Arial"/>
          <w:color w:val="000000"/>
        </w:rPr>
        <w:t>El delegado del Comité Tecnológico Operativo de cada organismo debe asignar una cuenta de usuario única y exclusivamente a los servidores públicos y prestadores de servicio y ésta estará determinada por el tiempo de vinculación del usuario con la entidad para mantener la gestión de control de acceso a los recursos informáticos de la administración central.</w:t>
      </w:r>
    </w:p>
    <w:p w:rsidR="00B57AEC" w:rsidRPr="00B57AEC" w:rsidRDefault="00B57AEC" w:rsidP="00B57AEC">
      <w:pPr>
        <w:jc w:val="both"/>
        <w:rPr>
          <w:rFonts w:ascii="Arial" w:hAnsi="Arial" w:cs="Arial"/>
        </w:rPr>
      </w:pPr>
      <w:r w:rsidRPr="00B57AEC">
        <w:rPr>
          <w:rFonts w:ascii="Arial" w:hAnsi="Arial" w:cs="Arial"/>
          <w:color w:val="000000"/>
        </w:rPr>
        <w:lastRenderedPageBreak/>
        <w:t xml:space="preserve">4.7  </w:t>
      </w:r>
      <w:r w:rsidRPr="00B57AEC">
        <w:rPr>
          <w:rFonts w:ascii="Arial" w:hAnsi="Arial" w:cs="Arial"/>
          <w:color w:val="000000"/>
        </w:rPr>
        <w:t>El delegado del Comité Tecnológico Operativo de cada organismo es la persona autorizada para la instalación de software para evitar que se instalen software sin licenciamiento o que atente con la integridad de la red de la Administración Central del Municipio Santiago de Cali.</w:t>
      </w:r>
    </w:p>
    <w:p w:rsidR="00B57AEC" w:rsidRPr="00B57AEC" w:rsidRDefault="00B57AEC" w:rsidP="00B57AEC">
      <w:pPr>
        <w:jc w:val="both"/>
        <w:rPr>
          <w:rFonts w:ascii="Arial" w:hAnsi="Arial" w:cs="Arial"/>
        </w:rPr>
      </w:pPr>
      <w:r w:rsidRPr="00B57AEC">
        <w:rPr>
          <w:rFonts w:ascii="Arial" w:hAnsi="Arial" w:cs="Arial"/>
          <w:color w:val="000000"/>
        </w:rPr>
        <w:br/>
      </w:r>
      <w:r w:rsidRPr="00B57AEC">
        <w:rPr>
          <w:rFonts w:ascii="Arial" w:hAnsi="Arial" w:cs="Arial"/>
          <w:color w:val="000000"/>
        </w:rPr>
        <w:t xml:space="preserve">4.8  </w:t>
      </w:r>
      <w:r w:rsidRPr="00B57AEC">
        <w:rPr>
          <w:rFonts w:ascii="Arial" w:hAnsi="Arial" w:cs="Arial"/>
          <w:color w:val="000000"/>
        </w:rPr>
        <w:t>El delegado del Comité Tecnológico Operativo de cada organismo debe escalar al Departamento Administrativo de las Tecnologías de la Información y las Comunicaciones todos los incidentes de soporte técnico que no puedan ser solucionados técnicamente por él por medio del aplicativo de mesa de servicios para garantizar trazabilidad en la atención de los incidentes.</w:t>
      </w:r>
    </w:p>
    <w:p w:rsidR="00B57AEC" w:rsidRPr="00B57AEC" w:rsidRDefault="00B57AEC" w:rsidP="00B57AEC">
      <w:pPr>
        <w:jc w:val="both"/>
        <w:rPr>
          <w:rFonts w:ascii="Arial" w:hAnsi="Arial" w:cs="Arial"/>
        </w:rPr>
      </w:pPr>
      <w:r w:rsidRPr="00B57AEC">
        <w:rPr>
          <w:rFonts w:ascii="Arial" w:hAnsi="Arial" w:cs="Arial"/>
          <w:color w:val="000000"/>
        </w:rPr>
        <w:br/>
      </w:r>
      <w:r w:rsidRPr="00B57AEC">
        <w:rPr>
          <w:rFonts w:ascii="Arial" w:hAnsi="Arial" w:cs="Arial"/>
          <w:color w:val="000000"/>
        </w:rPr>
        <w:t xml:space="preserve">4.9  </w:t>
      </w:r>
      <w:r w:rsidRPr="00B57AEC">
        <w:rPr>
          <w:rFonts w:ascii="Arial" w:hAnsi="Arial" w:cs="Arial"/>
          <w:color w:val="000000"/>
        </w:rPr>
        <w:t>El Proceso Administración de las Tecnologías de la Información y las Comunicaciones debe administrar el catálogo de servicios TI mediante el cumplimiento de los acuerdos de niveles de servicios (ANS) para todos los servicios tecnológicos prestados a los usuarios para garantizar la adecuada prestación de los servicios.</w:t>
      </w:r>
    </w:p>
    <w:p w:rsidR="00B57AEC" w:rsidRPr="00B57AEC" w:rsidRDefault="00B57AEC" w:rsidP="00B57AEC">
      <w:pPr>
        <w:jc w:val="both"/>
        <w:rPr>
          <w:rFonts w:ascii="Arial" w:hAnsi="Arial" w:cs="Arial"/>
        </w:rPr>
      </w:pPr>
      <w:r w:rsidRPr="00B57AEC">
        <w:rPr>
          <w:rFonts w:ascii="Arial" w:hAnsi="Arial" w:cs="Arial"/>
          <w:color w:val="000000"/>
        </w:rPr>
        <w:br/>
      </w:r>
      <w:r w:rsidRPr="00B57AEC">
        <w:rPr>
          <w:rFonts w:ascii="Arial" w:hAnsi="Arial" w:cs="Arial"/>
          <w:color w:val="000000"/>
        </w:rPr>
        <w:t xml:space="preserve">4.10  </w:t>
      </w:r>
      <w:r w:rsidRPr="00B57AEC">
        <w:rPr>
          <w:rFonts w:ascii="Arial" w:hAnsi="Arial" w:cs="Arial"/>
          <w:color w:val="000000"/>
        </w:rPr>
        <w:t>El Departamento Administrativo de las Tecnologías de la Información y las Comunicaciones, debe gestionar los mantenimientos correctivos en el evento de generarse una falla en el hardware y gestionar la programación de los mantenimientos preventivos de hardware de acuerdo a los intervalos, requisitos y/o especificaciones recomendadas por el proveedor o por el DATIC; esto con el fin de asegurar la disponibilidad e integridad de los recursos TI alojados en el centro de datos.</w:t>
      </w:r>
    </w:p>
    <w:p w:rsidR="0015525E" w:rsidRPr="00B57AEC" w:rsidRDefault="0015525E" w:rsidP="00B57AEC">
      <w:pPr>
        <w:pBdr>
          <w:top w:val="nil"/>
          <w:left w:val="nil"/>
          <w:bottom w:val="nil"/>
          <w:right w:val="nil"/>
          <w:between w:val="nil"/>
        </w:pBdr>
        <w:jc w:val="both"/>
        <w:rPr>
          <w:rFonts w:ascii="Arial" w:eastAsia="Arial" w:hAnsi="Arial" w:cs="Arial"/>
          <w:color w:val="000000"/>
        </w:rPr>
      </w:pPr>
    </w:p>
    <w:sectPr w:rsidR="0015525E" w:rsidRPr="00B57AEC">
      <w:headerReference w:type="default" r:id="rId7"/>
      <w:footerReference w:type="default" r:id="rId8"/>
      <w:type w:val="continuous"/>
      <w:pgSz w:w="12242" w:h="15842"/>
      <w:pgMar w:top="1418" w:right="1418" w:bottom="1418" w:left="1418" w:header="1140" w:footer="1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CBA" w:rsidRDefault="00552CBA">
      <w:r>
        <w:separator/>
      </w:r>
    </w:p>
  </w:endnote>
  <w:endnote w:type="continuationSeparator" w:id="0">
    <w:p w:rsidR="00552CBA" w:rsidRDefault="0055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25E" w:rsidRDefault="0015525E">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p>
  <w:p w:rsidR="0015525E" w:rsidRDefault="00B76824">
    <w:pPr>
      <w:pBdr>
        <w:top w:val="nil"/>
        <w:left w:val="nil"/>
        <w:bottom w:val="nil"/>
        <w:right w:val="nil"/>
        <w:between w:val="nil"/>
      </w:pBdr>
      <w:tabs>
        <w:tab w:val="center" w:pos="4419"/>
        <w:tab w:val="right" w:pos="8838"/>
      </w:tabs>
      <w:jc w:val="both"/>
      <w:rPr>
        <w:rFonts w:ascii="Arial" w:eastAsia="Arial" w:hAnsi="Arial" w:cs="Arial"/>
        <w:color w:val="000000"/>
        <w:sz w:val="16"/>
        <w:szCs w:val="16"/>
      </w:rPr>
    </w:pPr>
    <w:r>
      <w:rPr>
        <w:rFonts w:ascii="Arial" w:eastAsia="Arial" w:hAnsi="Arial" w:cs="Arial"/>
        <w:color w:val="000000"/>
        <w:sz w:val="16"/>
        <w:szCs w:val="16"/>
      </w:rPr>
      <w:t>Este documento es propiedad de la Administración Central del Municipio de Santiago de Cali. Prohibida su alteración o modificación por cualquier medio, sin previa autorización del Alcalde.</w:t>
    </w:r>
  </w:p>
  <w:p w:rsidR="0015525E" w:rsidRDefault="00B76824">
    <w:pPr>
      <w:pBdr>
        <w:top w:val="nil"/>
        <w:left w:val="nil"/>
        <w:bottom w:val="nil"/>
        <w:right w:val="nil"/>
        <w:between w:val="nil"/>
      </w:pBdr>
      <w:tabs>
        <w:tab w:val="center" w:pos="4419"/>
        <w:tab w:val="right" w:pos="8838"/>
      </w:tabs>
      <w:jc w:val="right"/>
      <w:rPr>
        <w:rFonts w:ascii="Arial" w:eastAsia="Arial" w:hAnsi="Arial" w:cs="Arial"/>
        <w:color w:val="000000"/>
        <w:sz w:val="16"/>
        <w:szCs w:val="16"/>
      </w:rPr>
    </w:pPr>
    <w:r>
      <w:rPr>
        <w:rFonts w:ascii="Arial" w:eastAsia="Arial" w:hAnsi="Arial" w:cs="Arial"/>
        <w:color w:val="000000"/>
        <w:sz w:val="16"/>
        <w:szCs w:val="16"/>
      </w:rPr>
      <w:t xml:space="preserve">Página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65A4B">
      <w:rPr>
        <w:rFonts w:ascii="Arial" w:eastAsia="Arial" w:hAnsi="Arial" w:cs="Arial"/>
        <w:noProof/>
        <w:color w:val="000000"/>
        <w:sz w:val="16"/>
        <w:szCs w:val="16"/>
      </w:rPr>
      <w:t>2</w:t>
    </w:r>
    <w:r>
      <w:rPr>
        <w:rFonts w:ascii="Arial" w:eastAsia="Arial" w:hAnsi="Arial" w:cs="Arial"/>
        <w:color w:val="000000"/>
        <w:sz w:val="16"/>
        <w:szCs w:val="16"/>
      </w:rPr>
      <w:fldChar w:fldCharType="end"/>
    </w:r>
    <w:r w:rsidR="006E11AF">
      <w:rPr>
        <w:rFonts w:ascii="Arial" w:eastAsia="Arial" w:hAnsi="Arial" w:cs="Arial"/>
        <w:color w:val="000000"/>
        <w:sz w:val="16"/>
        <w:szCs w:val="16"/>
      </w:rPr>
      <w:t xml:space="preserve"> de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CBA" w:rsidRDefault="00552CBA">
      <w:r>
        <w:separator/>
      </w:r>
    </w:p>
  </w:footnote>
  <w:footnote w:type="continuationSeparator" w:id="0">
    <w:p w:rsidR="00552CBA" w:rsidRDefault="00552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25E" w:rsidRDefault="0015525E">
    <w:pPr>
      <w:widowControl w:val="0"/>
      <w:pBdr>
        <w:top w:val="nil"/>
        <w:left w:val="nil"/>
        <w:bottom w:val="nil"/>
        <w:right w:val="nil"/>
        <w:between w:val="nil"/>
      </w:pBdr>
      <w:spacing w:line="276" w:lineRule="auto"/>
      <w:rPr>
        <w:rFonts w:ascii="Arial" w:eastAsia="Arial" w:hAnsi="Arial" w:cs="Arial"/>
      </w:rPr>
    </w:pPr>
  </w:p>
  <w:tbl>
    <w:tblPr>
      <w:tblStyle w:val="a4"/>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5030"/>
      <w:gridCol w:w="1490"/>
      <w:gridCol w:w="1134"/>
    </w:tblGrid>
    <w:tr w:rsidR="0015525E">
      <w:trPr>
        <w:trHeight w:val="520"/>
        <w:jc w:val="center"/>
      </w:trPr>
      <w:tc>
        <w:tcPr>
          <w:tcW w:w="3114" w:type="dxa"/>
          <w:vMerge w:val="restart"/>
          <w:vAlign w:val="center"/>
        </w:tcPr>
        <w:p w:rsidR="0015525E" w:rsidRDefault="00B76824">
          <w:pPr>
            <w:pBdr>
              <w:top w:val="nil"/>
              <w:left w:val="nil"/>
              <w:bottom w:val="nil"/>
              <w:right w:val="nil"/>
              <w:between w:val="nil"/>
            </w:pBdr>
            <w:tabs>
              <w:tab w:val="center" w:pos="4419"/>
              <w:tab w:val="right" w:pos="8838"/>
            </w:tabs>
            <w:jc w:val="center"/>
            <w:rPr>
              <w:rFonts w:ascii="Arial" w:eastAsia="Arial" w:hAnsi="Arial" w:cs="Arial"/>
              <w:color w:val="000000"/>
              <w:sz w:val="14"/>
              <w:szCs w:val="14"/>
            </w:rPr>
          </w:pPr>
          <w:r>
            <w:rPr>
              <w:rFonts w:ascii="Arial" w:eastAsia="Arial" w:hAnsi="Arial" w:cs="Arial"/>
              <w:noProof/>
              <w:color w:val="000000"/>
              <w:sz w:val="14"/>
              <w:szCs w:val="14"/>
              <w:lang w:val="es-CO"/>
            </w:rPr>
            <w:drawing>
              <wp:inline distT="0" distB="0" distL="0" distR="0">
                <wp:extent cx="1080000" cy="826936"/>
                <wp:effectExtent l="0" t="0" r="0" b="0"/>
                <wp:docPr id="2" name="image4.jpg" descr="escudo"/>
                <wp:cNvGraphicFramePr/>
                <a:graphic xmlns:a="http://schemas.openxmlformats.org/drawingml/2006/main">
                  <a:graphicData uri="http://schemas.openxmlformats.org/drawingml/2006/picture">
                    <pic:pic xmlns:pic="http://schemas.openxmlformats.org/drawingml/2006/picture">
                      <pic:nvPicPr>
                        <pic:cNvPr id="0" name="image4.jpg" descr="escudo"/>
                        <pic:cNvPicPr preferRelativeResize="0"/>
                      </pic:nvPicPr>
                      <pic:blipFill>
                        <a:blip r:embed="rId1"/>
                        <a:srcRect/>
                        <a:stretch>
                          <a:fillRect/>
                        </a:stretch>
                      </pic:blipFill>
                      <pic:spPr>
                        <a:xfrm>
                          <a:off x="0" y="0"/>
                          <a:ext cx="1080000" cy="826936"/>
                        </a:xfrm>
                        <a:prstGeom prst="rect">
                          <a:avLst/>
                        </a:prstGeom>
                        <a:ln/>
                      </pic:spPr>
                    </pic:pic>
                  </a:graphicData>
                </a:graphic>
              </wp:inline>
            </w:drawing>
          </w:r>
        </w:p>
        <w:p w:rsidR="0015525E" w:rsidRDefault="0015525E">
          <w:pPr>
            <w:pBdr>
              <w:top w:val="nil"/>
              <w:left w:val="nil"/>
              <w:bottom w:val="nil"/>
              <w:right w:val="nil"/>
              <w:between w:val="nil"/>
            </w:pBdr>
            <w:tabs>
              <w:tab w:val="center" w:pos="4419"/>
              <w:tab w:val="right" w:pos="8838"/>
            </w:tabs>
            <w:jc w:val="center"/>
            <w:rPr>
              <w:rFonts w:ascii="Arial" w:eastAsia="Arial" w:hAnsi="Arial" w:cs="Arial"/>
              <w:color w:val="000000"/>
              <w:sz w:val="14"/>
              <w:szCs w:val="14"/>
            </w:rPr>
          </w:pPr>
        </w:p>
        <w:p w:rsidR="0015525E" w:rsidRDefault="00B76824">
          <w:pPr>
            <w:pBdr>
              <w:top w:val="nil"/>
              <w:left w:val="nil"/>
              <w:bottom w:val="nil"/>
              <w:right w:val="nil"/>
              <w:between w:val="nil"/>
            </w:pBdr>
            <w:tabs>
              <w:tab w:val="center" w:pos="4419"/>
              <w:tab w:val="right" w:pos="8838"/>
            </w:tabs>
            <w:jc w:val="center"/>
            <w:rPr>
              <w:rFonts w:ascii="Arial" w:eastAsia="Arial" w:hAnsi="Arial" w:cs="Arial"/>
              <w:color w:val="000000"/>
              <w:sz w:val="14"/>
              <w:szCs w:val="14"/>
            </w:rPr>
          </w:pPr>
          <w:r>
            <w:rPr>
              <w:rFonts w:ascii="Arial" w:eastAsia="Arial" w:hAnsi="Arial" w:cs="Arial"/>
              <w:color w:val="000000"/>
              <w:sz w:val="14"/>
              <w:szCs w:val="14"/>
            </w:rPr>
            <w:t>GESTIÓN TECNOLÓGICA Y DE LA INFORMACIÓN</w:t>
          </w:r>
        </w:p>
        <w:p w:rsidR="0015525E" w:rsidRDefault="00B76824">
          <w:pPr>
            <w:pBdr>
              <w:top w:val="nil"/>
              <w:left w:val="nil"/>
              <w:bottom w:val="nil"/>
              <w:right w:val="nil"/>
              <w:between w:val="nil"/>
            </w:pBdr>
            <w:tabs>
              <w:tab w:val="center" w:pos="4419"/>
              <w:tab w:val="right" w:pos="8838"/>
            </w:tabs>
            <w:ind w:left="173"/>
            <w:jc w:val="center"/>
            <w:rPr>
              <w:rFonts w:ascii="Arial" w:eastAsia="Arial" w:hAnsi="Arial" w:cs="Arial"/>
              <w:color w:val="000000"/>
              <w:sz w:val="14"/>
              <w:szCs w:val="14"/>
            </w:rPr>
          </w:pPr>
          <w:r>
            <w:rPr>
              <w:rFonts w:ascii="Arial" w:eastAsia="Arial" w:hAnsi="Arial" w:cs="Arial"/>
              <w:color w:val="000000"/>
              <w:sz w:val="14"/>
              <w:szCs w:val="14"/>
            </w:rPr>
            <w:t>ADMINISTRACIÓN DE TECNOLOGÍAS DE LA INFORMACIÓN</w:t>
          </w:r>
        </w:p>
        <w:p w:rsidR="0015525E" w:rsidRDefault="00B76824">
          <w:pPr>
            <w:pBdr>
              <w:top w:val="nil"/>
              <w:left w:val="nil"/>
              <w:bottom w:val="nil"/>
              <w:right w:val="nil"/>
              <w:between w:val="nil"/>
            </w:pBdr>
            <w:tabs>
              <w:tab w:val="center" w:pos="4419"/>
              <w:tab w:val="right" w:pos="8838"/>
            </w:tabs>
            <w:jc w:val="center"/>
            <w:rPr>
              <w:rFonts w:ascii="Arial" w:eastAsia="Arial" w:hAnsi="Arial" w:cs="Arial"/>
              <w:color w:val="000000"/>
              <w:sz w:val="14"/>
              <w:szCs w:val="14"/>
            </w:rPr>
          </w:pPr>
          <w:r>
            <w:rPr>
              <w:rFonts w:ascii="Arial" w:eastAsia="Arial" w:hAnsi="Arial" w:cs="Arial"/>
              <w:color w:val="000000"/>
              <w:sz w:val="14"/>
              <w:szCs w:val="14"/>
            </w:rPr>
            <w:t>Y LAS COMUNICACIONES</w:t>
          </w:r>
        </w:p>
      </w:tc>
      <w:tc>
        <w:tcPr>
          <w:tcW w:w="5030" w:type="dxa"/>
          <w:vMerge w:val="restart"/>
          <w:vAlign w:val="center"/>
        </w:tcPr>
        <w:p w:rsidR="0015525E" w:rsidRDefault="00B76824">
          <w:pPr>
            <w:pBdr>
              <w:top w:val="nil"/>
              <w:left w:val="nil"/>
              <w:bottom w:val="nil"/>
              <w:right w:val="nil"/>
              <w:between w:val="nil"/>
            </w:pBdr>
            <w:tabs>
              <w:tab w:val="center" w:pos="4419"/>
              <w:tab w:val="right" w:pos="8838"/>
            </w:tabs>
            <w:jc w:val="center"/>
            <w:rPr>
              <w:rFonts w:ascii="Arial" w:eastAsia="Arial" w:hAnsi="Arial" w:cs="Arial"/>
              <w:color w:val="000000"/>
              <w:sz w:val="20"/>
              <w:szCs w:val="20"/>
            </w:rPr>
          </w:pPr>
          <w:r>
            <w:rPr>
              <w:rFonts w:ascii="Arial" w:eastAsia="Arial" w:hAnsi="Arial" w:cs="Arial"/>
              <w:color w:val="000000"/>
              <w:sz w:val="20"/>
              <w:szCs w:val="20"/>
            </w:rPr>
            <w:t>SISTEMAS DE GESTIÓN Y CONTROL INTEGRADOS</w:t>
          </w:r>
        </w:p>
        <w:p w:rsidR="0015525E" w:rsidRDefault="00B76824">
          <w:pPr>
            <w:pBdr>
              <w:top w:val="nil"/>
              <w:left w:val="nil"/>
              <w:bottom w:val="nil"/>
              <w:right w:val="nil"/>
              <w:between w:val="nil"/>
            </w:pBdr>
            <w:tabs>
              <w:tab w:val="center" w:pos="4419"/>
              <w:tab w:val="right" w:pos="8838"/>
            </w:tabs>
            <w:jc w:val="center"/>
            <w:rPr>
              <w:rFonts w:ascii="Arial" w:eastAsia="Arial" w:hAnsi="Arial" w:cs="Arial"/>
              <w:color w:val="000000"/>
              <w:sz w:val="20"/>
              <w:szCs w:val="20"/>
            </w:rPr>
          </w:pPr>
          <w:r>
            <w:rPr>
              <w:rFonts w:ascii="Arial" w:eastAsia="Arial" w:hAnsi="Arial" w:cs="Arial"/>
              <w:color w:val="000000"/>
              <w:sz w:val="20"/>
              <w:szCs w:val="20"/>
            </w:rPr>
            <w:t>(SISTEDA, SGC y MECI)</w:t>
          </w:r>
        </w:p>
        <w:p w:rsidR="0015525E" w:rsidRDefault="0015525E">
          <w:pPr>
            <w:pBdr>
              <w:top w:val="nil"/>
              <w:left w:val="nil"/>
              <w:bottom w:val="nil"/>
              <w:right w:val="nil"/>
              <w:between w:val="nil"/>
            </w:pBdr>
            <w:tabs>
              <w:tab w:val="center" w:pos="4419"/>
              <w:tab w:val="right" w:pos="8838"/>
            </w:tabs>
            <w:jc w:val="center"/>
            <w:rPr>
              <w:rFonts w:ascii="Arial" w:eastAsia="Arial" w:hAnsi="Arial" w:cs="Arial"/>
              <w:b/>
              <w:color w:val="000000"/>
            </w:rPr>
          </w:pPr>
        </w:p>
        <w:p w:rsidR="0015525E" w:rsidRDefault="00B76824">
          <w:pPr>
            <w:jc w:val="center"/>
            <w:rPr>
              <w:rFonts w:ascii="Arial" w:eastAsia="Arial" w:hAnsi="Arial" w:cs="Arial"/>
              <w:b/>
            </w:rPr>
          </w:pPr>
          <w:r>
            <w:rPr>
              <w:rFonts w:ascii="Arial" w:eastAsia="Arial" w:hAnsi="Arial" w:cs="Arial"/>
              <w:b/>
            </w:rPr>
            <w:t>MANUAL DE PROCESO</w:t>
          </w:r>
        </w:p>
        <w:p w:rsidR="0015525E" w:rsidRDefault="00B76824">
          <w:pPr>
            <w:pBdr>
              <w:top w:val="nil"/>
              <w:left w:val="nil"/>
              <w:bottom w:val="nil"/>
              <w:right w:val="nil"/>
              <w:between w:val="nil"/>
            </w:pBdr>
            <w:tabs>
              <w:tab w:val="center" w:pos="4419"/>
              <w:tab w:val="right" w:pos="8838"/>
            </w:tabs>
            <w:ind w:left="173"/>
            <w:jc w:val="center"/>
            <w:rPr>
              <w:rFonts w:ascii="Arial" w:eastAsia="Arial" w:hAnsi="Arial" w:cs="Arial"/>
              <w:b/>
              <w:color w:val="000000"/>
            </w:rPr>
          </w:pPr>
          <w:r>
            <w:rPr>
              <w:rFonts w:ascii="Arial" w:eastAsia="Arial" w:hAnsi="Arial" w:cs="Arial"/>
              <w:b/>
              <w:color w:val="000000"/>
            </w:rPr>
            <w:t>ADMINISTRACIÓN DE TECNOLOGÍAS DE LA INFORMACIÓN</w:t>
          </w:r>
        </w:p>
        <w:p w:rsidR="0015525E" w:rsidRDefault="00B76824">
          <w:pPr>
            <w:pBdr>
              <w:top w:val="nil"/>
              <w:left w:val="nil"/>
              <w:bottom w:val="nil"/>
              <w:right w:val="nil"/>
              <w:between w:val="nil"/>
            </w:pBdr>
            <w:tabs>
              <w:tab w:val="center" w:pos="4419"/>
              <w:tab w:val="right" w:pos="8838"/>
            </w:tabs>
            <w:jc w:val="center"/>
            <w:rPr>
              <w:rFonts w:ascii="Arial" w:eastAsia="Arial" w:hAnsi="Arial" w:cs="Arial"/>
              <w:b/>
              <w:color w:val="000000"/>
            </w:rPr>
          </w:pPr>
          <w:r>
            <w:rPr>
              <w:rFonts w:ascii="Arial" w:eastAsia="Arial" w:hAnsi="Arial" w:cs="Arial"/>
              <w:b/>
              <w:color w:val="000000"/>
            </w:rPr>
            <w:t>Y LAS COMUNICACIONES</w:t>
          </w:r>
        </w:p>
      </w:tc>
      <w:tc>
        <w:tcPr>
          <w:tcW w:w="2624" w:type="dxa"/>
          <w:gridSpan w:val="2"/>
          <w:vAlign w:val="center"/>
        </w:tcPr>
        <w:p w:rsidR="0015525E" w:rsidRDefault="00B76824">
          <w:pPr>
            <w:jc w:val="center"/>
            <w:rPr>
              <w:rFonts w:ascii="Arial" w:eastAsia="Arial" w:hAnsi="Arial" w:cs="Arial"/>
              <w:sz w:val="18"/>
              <w:szCs w:val="18"/>
            </w:rPr>
          </w:pPr>
          <w:r>
            <w:rPr>
              <w:rFonts w:ascii="Arial" w:eastAsia="Arial" w:hAnsi="Arial" w:cs="Arial"/>
              <w:sz w:val="18"/>
              <w:szCs w:val="18"/>
            </w:rPr>
            <w:t>MAGT04.04.18.M01</w:t>
          </w:r>
        </w:p>
      </w:tc>
    </w:tr>
    <w:tr w:rsidR="0015525E">
      <w:trPr>
        <w:trHeight w:val="380"/>
        <w:jc w:val="center"/>
      </w:trPr>
      <w:tc>
        <w:tcPr>
          <w:tcW w:w="3114" w:type="dxa"/>
          <w:vMerge/>
          <w:vAlign w:val="center"/>
        </w:tcPr>
        <w:p w:rsidR="0015525E" w:rsidRDefault="0015525E">
          <w:pPr>
            <w:widowControl w:val="0"/>
            <w:pBdr>
              <w:top w:val="nil"/>
              <w:left w:val="nil"/>
              <w:bottom w:val="nil"/>
              <w:right w:val="nil"/>
              <w:between w:val="nil"/>
            </w:pBdr>
            <w:spacing w:line="276" w:lineRule="auto"/>
            <w:rPr>
              <w:rFonts w:ascii="Arial" w:eastAsia="Arial" w:hAnsi="Arial" w:cs="Arial"/>
              <w:sz w:val="18"/>
              <w:szCs w:val="18"/>
            </w:rPr>
          </w:pPr>
        </w:p>
      </w:tc>
      <w:tc>
        <w:tcPr>
          <w:tcW w:w="5030" w:type="dxa"/>
          <w:vMerge/>
          <w:vAlign w:val="center"/>
        </w:tcPr>
        <w:p w:rsidR="0015525E" w:rsidRDefault="0015525E">
          <w:pPr>
            <w:widowControl w:val="0"/>
            <w:pBdr>
              <w:top w:val="nil"/>
              <w:left w:val="nil"/>
              <w:bottom w:val="nil"/>
              <w:right w:val="nil"/>
              <w:between w:val="nil"/>
            </w:pBdr>
            <w:spacing w:line="276" w:lineRule="auto"/>
            <w:rPr>
              <w:rFonts w:ascii="Arial" w:eastAsia="Arial" w:hAnsi="Arial" w:cs="Arial"/>
              <w:sz w:val="18"/>
              <w:szCs w:val="18"/>
            </w:rPr>
          </w:pPr>
        </w:p>
      </w:tc>
      <w:tc>
        <w:tcPr>
          <w:tcW w:w="1490" w:type="dxa"/>
          <w:vAlign w:val="center"/>
        </w:tcPr>
        <w:p w:rsidR="0015525E" w:rsidRDefault="00B76824">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VERSIÓN</w:t>
          </w:r>
        </w:p>
      </w:tc>
      <w:tc>
        <w:tcPr>
          <w:tcW w:w="1134" w:type="dxa"/>
          <w:vAlign w:val="center"/>
        </w:tcPr>
        <w:p w:rsidR="0015525E" w:rsidRDefault="00F152C0">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4</w:t>
          </w:r>
        </w:p>
      </w:tc>
    </w:tr>
    <w:tr w:rsidR="0015525E">
      <w:trPr>
        <w:jc w:val="center"/>
      </w:trPr>
      <w:tc>
        <w:tcPr>
          <w:tcW w:w="3114" w:type="dxa"/>
          <w:vMerge/>
          <w:vAlign w:val="center"/>
        </w:tcPr>
        <w:p w:rsidR="0015525E" w:rsidRDefault="0015525E">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5030" w:type="dxa"/>
          <w:vMerge/>
          <w:vAlign w:val="center"/>
        </w:tcPr>
        <w:p w:rsidR="0015525E" w:rsidRDefault="0015525E">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490" w:type="dxa"/>
          <w:vAlign w:val="center"/>
        </w:tcPr>
        <w:p w:rsidR="0015525E" w:rsidRDefault="00B76824">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FECHA DE ENTRADA</w:t>
          </w:r>
        </w:p>
        <w:p w:rsidR="0015525E" w:rsidRDefault="00B76824">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EN VIGENCIA</w:t>
          </w:r>
        </w:p>
      </w:tc>
      <w:tc>
        <w:tcPr>
          <w:tcW w:w="1134" w:type="dxa"/>
          <w:vAlign w:val="center"/>
        </w:tcPr>
        <w:p w:rsidR="0015525E" w:rsidRDefault="00F152C0">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01/mar/2019</w:t>
          </w:r>
        </w:p>
      </w:tc>
    </w:tr>
  </w:tbl>
  <w:p w:rsidR="0015525E" w:rsidRDefault="0015525E">
    <w:pPr>
      <w:pBdr>
        <w:top w:val="nil"/>
        <w:left w:val="nil"/>
        <w:bottom w:val="nil"/>
        <w:right w:val="nil"/>
        <w:between w:val="nil"/>
      </w:pBdr>
      <w:tabs>
        <w:tab w:val="center" w:pos="4419"/>
        <w:tab w:val="right" w:pos="8838"/>
      </w:tabs>
      <w:jc w:val="right"/>
      <w:rPr>
        <w:rFonts w:ascii="Arial" w:eastAsia="Arial" w:hAnsi="Arial" w:cs="Arial"/>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6FAC"/>
    <w:multiLevelType w:val="multilevel"/>
    <w:tmpl w:val="DAC2E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93367C"/>
    <w:multiLevelType w:val="multilevel"/>
    <w:tmpl w:val="D77E7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55B36D4"/>
    <w:multiLevelType w:val="multilevel"/>
    <w:tmpl w:val="4FCE2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3A0F51"/>
    <w:multiLevelType w:val="multilevel"/>
    <w:tmpl w:val="95AC7AB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155C2B"/>
    <w:multiLevelType w:val="multilevel"/>
    <w:tmpl w:val="59129B46"/>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A10940"/>
    <w:multiLevelType w:val="multilevel"/>
    <w:tmpl w:val="221E62F0"/>
    <w:lvl w:ilvl="0">
      <w:start w:val="5"/>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19923308"/>
    <w:multiLevelType w:val="multilevel"/>
    <w:tmpl w:val="0FD855F0"/>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21A7382B"/>
    <w:multiLevelType w:val="multilevel"/>
    <w:tmpl w:val="F4867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2457448"/>
    <w:multiLevelType w:val="multilevel"/>
    <w:tmpl w:val="8B28F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34547D5"/>
    <w:multiLevelType w:val="multilevel"/>
    <w:tmpl w:val="0030A202"/>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695831"/>
    <w:multiLevelType w:val="multilevel"/>
    <w:tmpl w:val="52DA0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7BE5A58"/>
    <w:multiLevelType w:val="multilevel"/>
    <w:tmpl w:val="5D04CF40"/>
    <w:lvl w:ilvl="0">
      <w:start w:val="4"/>
      <w:numFmt w:val="decimal"/>
      <w:lvlText w:val="%1"/>
      <w:lvlJc w:val="left"/>
      <w:pPr>
        <w:ind w:left="360" w:hanging="360"/>
      </w:pPr>
    </w:lvl>
    <w:lvl w:ilvl="1">
      <w:start w:val="1"/>
      <w:numFmt w:val="decimal"/>
      <w:lvlText w:val="%1.%2"/>
      <w:lvlJc w:val="left"/>
      <w:pPr>
        <w:ind w:left="360" w:hanging="360"/>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35163FCF"/>
    <w:multiLevelType w:val="multilevel"/>
    <w:tmpl w:val="352AF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9FE0530"/>
    <w:multiLevelType w:val="multilevel"/>
    <w:tmpl w:val="65C21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B973D4B"/>
    <w:multiLevelType w:val="multilevel"/>
    <w:tmpl w:val="54BC038E"/>
    <w:lvl w:ilvl="0">
      <w:start w:val="1"/>
      <w:numFmt w:val="decimal"/>
      <w:lvlText w:val="%1."/>
      <w:lvlJc w:val="left"/>
      <w:pPr>
        <w:ind w:left="6456" w:hanging="360"/>
      </w:pPr>
    </w:lvl>
    <w:lvl w:ilvl="1">
      <w:start w:val="1"/>
      <w:numFmt w:val="decimal"/>
      <w:lvlText w:val="%1.%2."/>
      <w:lvlJc w:val="left"/>
      <w:pPr>
        <w:ind w:left="4052" w:hanging="432"/>
      </w:pPr>
    </w:lvl>
    <w:lvl w:ilvl="2">
      <w:start w:val="1"/>
      <w:numFmt w:val="decimal"/>
      <w:lvlText w:val="%1.%2.%3."/>
      <w:lvlJc w:val="left"/>
      <w:pPr>
        <w:ind w:left="4484" w:hanging="504"/>
      </w:pPr>
    </w:lvl>
    <w:lvl w:ilvl="3">
      <w:start w:val="1"/>
      <w:numFmt w:val="decimal"/>
      <w:lvlText w:val="%1.%2.%3.%4."/>
      <w:lvlJc w:val="left"/>
      <w:pPr>
        <w:ind w:left="4988" w:hanging="648"/>
      </w:pPr>
    </w:lvl>
    <w:lvl w:ilvl="4">
      <w:start w:val="1"/>
      <w:numFmt w:val="decimal"/>
      <w:lvlText w:val="%1.%2.%3.%4.%5."/>
      <w:lvlJc w:val="left"/>
      <w:pPr>
        <w:ind w:left="5492" w:hanging="791"/>
      </w:pPr>
    </w:lvl>
    <w:lvl w:ilvl="5">
      <w:start w:val="1"/>
      <w:numFmt w:val="decimal"/>
      <w:lvlText w:val="%1.%2.%3.%4.%5.%6."/>
      <w:lvlJc w:val="left"/>
      <w:pPr>
        <w:ind w:left="5996" w:hanging="936"/>
      </w:pPr>
    </w:lvl>
    <w:lvl w:ilvl="6">
      <w:start w:val="1"/>
      <w:numFmt w:val="decimal"/>
      <w:lvlText w:val="%1.%2.%3.%4.%5.%6.%7."/>
      <w:lvlJc w:val="left"/>
      <w:pPr>
        <w:ind w:left="6500" w:hanging="1080"/>
      </w:pPr>
    </w:lvl>
    <w:lvl w:ilvl="7">
      <w:start w:val="1"/>
      <w:numFmt w:val="decimal"/>
      <w:lvlText w:val="%1.%2.%3.%4.%5.%6.%7.%8."/>
      <w:lvlJc w:val="left"/>
      <w:pPr>
        <w:ind w:left="7004" w:hanging="1224"/>
      </w:pPr>
    </w:lvl>
    <w:lvl w:ilvl="8">
      <w:start w:val="1"/>
      <w:numFmt w:val="decimal"/>
      <w:lvlText w:val="%1.%2.%3.%4.%5.%6.%7.%8.%9."/>
      <w:lvlJc w:val="left"/>
      <w:pPr>
        <w:ind w:left="7580" w:hanging="1440"/>
      </w:pPr>
    </w:lvl>
  </w:abstractNum>
  <w:abstractNum w:abstractNumId="15">
    <w:nsid w:val="3D88504A"/>
    <w:multiLevelType w:val="multilevel"/>
    <w:tmpl w:val="B8ECB8FC"/>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445B11"/>
    <w:multiLevelType w:val="multilevel"/>
    <w:tmpl w:val="CEA07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368327A"/>
    <w:multiLevelType w:val="multilevel"/>
    <w:tmpl w:val="39189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472058E"/>
    <w:multiLevelType w:val="multilevel"/>
    <w:tmpl w:val="9AFC4EDC"/>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BF78DB"/>
    <w:multiLevelType w:val="multilevel"/>
    <w:tmpl w:val="82821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A94A38"/>
    <w:multiLevelType w:val="multilevel"/>
    <w:tmpl w:val="1798807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AF1A81"/>
    <w:multiLevelType w:val="multilevel"/>
    <w:tmpl w:val="DEBA3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1167B2B"/>
    <w:multiLevelType w:val="multilevel"/>
    <w:tmpl w:val="DFCC13A2"/>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E17A61"/>
    <w:multiLevelType w:val="multilevel"/>
    <w:tmpl w:val="68502B2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2E760D"/>
    <w:multiLevelType w:val="multilevel"/>
    <w:tmpl w:val="512A3E4E"/>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1D1625"/>
    <w:multiLevelType w:val="multilevel"/>
    <w:tmpl w:val="FAECC33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67853414"/>
    <w:multiLevelType w:val="multilevel"/>
    <w:tmpl w:val="59D83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AA50B8B"/>
    <w:multiLevelType w:val="multilevel"/>
    <w:tmpl w:val="161CB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6"/>
  </w:num>
  <w:num w:numId="4">
    <w:abstractNumId w:val="2"/>
  </w:num>
  <w:num w:numId="5">
    <w:abstractNumId w:val="21"/>
  </w:num>
  <w:num w:numId="6">
    <w:abstractNumId w:val="1"/>
  </w:num>
  <w:num w:numId="7">
    <w:abstractNumId w:val="17"/>
  </w:num>
  <w:num w:numId="8">
    <w:abstractNumId w:val="8"/>
  </w:num>
  <w:num w:numId="9">
    <w:abstractNumId w:val="13"/>
  </w:num>
  <w:num w:numId="10">
    <w:abstractNumId w:val="11"/>
  </w:num>
  <w:num w:numId="11">
    <w:abstractNumId w:val="7"/>
  </w:num>
  <w:num w:numId="12">
    <w:abstractNumId w:val="6"/>
  </w:num>
  <w:num w:numId="13">
    <w:abstractNumId w:val="10"/>
  </w:num>
  <w:num w:numId="14">
    <w:abstractNumId w:val="14"/>
  </w:num>
  <w:num w:numId="15">
    <w:abstractNumId w:val="27"/>
  </w:num>
  <w:num w:numId="16">
    <w:abstractNumId w:val="12"/>
  </w:num>
  <w:num w:numId="17">
    <w:abstractNumId w:val="26"/>
  </w:num>
  <w:num w:numId="18">
    <w:abstractNumId w:val="25"/>
  </w:num>
  <w:num w:numId="19">
    <w:abstractNumId w:val="19"/>
  </w:num>
  <w:num w:numId="20">
    <w:abstractNumId w:val="20"/>
    <w:lvlOverride w:ilvl="1">
      <w:lvl w:ilvl="1">
        <w:numFmt w:val="decimal"/>
        <w:lvlText w:val="%2."/>
        <w:lvlJc w:val="left"/>
      </w:lvl>
    </w:lvlOverride>
  </w:num>
  <w:num w:numId="21">
    <w:abstractNumId w:val="23"/>
    <w:lvlOverride w:ilvl="1">
      <w:lvl w:ilvl="1">
        <w:numFmt w:val="decimal"/>
        <w:lvlText w:val="%2."/>
        <w:lvlJc w:val="left"/>
      </w:lvl>
    </w:lvlOverride>
  </w:num>
  <w:num w:numId="22">
    <w:abstractNumId w:val="3"/>
    <w:lvlOverride w:ilvl="1">
      <w:lvl w:ilvl="1">
        <w:numFmt w:val="decimal"/>
        <w:lvlText w:val="%2."/>
        <w:lvlJc w:val="left"/>
      </w:lvl>
    </w:lvlOverride>
  </w:num>
  <w:num w:numId="23">
    <w:abstractNumId w:val="9"/>
    <w:lvlOverride w:ilvl="1">
      <w:lvl w:ilvl="1">
        <w:numFmt w:val="decimal"/>
        <w:lvlText w:val="%2."/>
        <w:lvlJc w:val="left"/>
      </w:lvl>
    </w:lvlOverride>
  </w:num>
  <w:num w:numId="24">
    <w:abstractNumId w:val="24"/>
    <w:lvlOverride w:ilvl="1">
      <w:lvl w:ilvl="1">
        <w:numFmt w:val="decimal"/>
        <w:lvlText w:val="%2."/>
        <w:lvlJc w:val="left"/>
      </w:lvl>
    </w:lvlOverride>
  </w:num>
  <w:num w:numId="25">
    <w:abstractNumId w:val="18"/>
    <w:lvlOverride w:ilvl="1">
      <w:lvl w:ilvl="1">
        <w:numFmt w:val="decimal"/>
        <w:lvlText w:val="%2."/>
        <w:lvlJc w:val="left"/>
      </w:lvl>
    </w:lvlOverride>
  </w:num>
  <w:num w:numId="26">
    <w:abstractNumId w:val="22"/>
    <w:lvlOverride w:ilvl="1">
      <w:lvl w:ilvl="1">
        <w:numFmt w:val="decimal"/>
        <w:lvlText w:val="%2."/>
        <w:lvlJc w:val="left"/>
      </w:lvl>
    </w:lvlOverride>
  </w:num>
  <w:num w:numId="27">
    <w:abstractNumId w:val="15"/>
    <w:lvlOverride w:ilvl="1">
      <w:lvl w:ilvl="1">
        <w:numFmt w:val="decimal"/>
        <w:lvlText w:val="%2."/>
        <w:lvlJc w:val="left"/>
      </w:lvl>
    </w:lvlOverride>
  </w:num>
  <w:num w:numId="28">
    <w:abstractNumId w:val="4"/>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5E"/>
    <w:rsid w:val="0015525E"/>
    <w:rsid w:val="001D4DE3"/>
    <w:rsid w:val="00265A4B"/>
    <w:rsid w:val="00552CBA"/>
    <w:rsid w:val="006E11AF"/>
    <w:rsid w:val="00AC16AB"/>
    <w:rsid w:val="00B57AEC"/>
    <w:rsid w:val="00B76824"/>
    <w:rsid w:val="00F152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69D7C-7688-4FB9-8AF6-B2C2CF1E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432" w:hanging="432"/>
      <w:jc w:val="center"/>
      <w:outlineLvl w:val="0"/>
    </w:pPr>
    <w:rPr>
      <w:rFonts w:ascii="Arial" w:eastAsia="Arial" w:hAnsi="Arial" w:cs="Arial"/>
      <w:b/>
    </w:rPr>
  </w:style>
  <w:style w:type="paragraph" w:styleId="Ttulo2">
    <w:name w:val="heading 2"/>
    <w:basedOn w:val="Normal"/>
    <w:next w:val="Normal"/>
    <w:pPr>
      <w:tabs>
        <w:tab w:val="center" w:pos="4419"/>
        <w:tab w:val="right" w:pos="8838"/>
      </w:tabs>
      <w:ind w:left="576" w:hanging="576"/>
      <w:contextualSpacing/>
      <w:jc w:val="both"/>
      <w:outlineLvl w:val="1"/>
    </w:pPr>
    <w:rPr>
      <w:rFonts w:ascii="Arial" w:eastAsia="Arial" w:hAnsi="Arial" w:cs="Arial"/>
      <w:b/>
    </w:rPr>
  </w:style>
  <w:style w:type="paragraph" w:styleId="Ttulo3">
    <w:name w:val="heading 3"/>
    <w:basedOn w:val="Normal"/>
    <w:next w:val="Normal"/>
    <w:pPr>
      <w:tabs>
        <w:tab w:val="center" w:pos="7655"/>
      </w:tabs>
      <w:ind w:left="720" w:hanging="720"/>
      <w:jc w:val="both"/>
      <w:outlineLvl w:val="2"/>
    </w:pPr>
    <w:rPr>
      <w:rFonts w:ascii="Arial" w:eastAsia="Arial" w:hAnsi="Arial" w:cs="Arial"/>
      <w:b/>
    </w:rPr>
  </w:style>
  <w:style w:type="paragraph" w:styleId="Ttulo4">
    <w:name w:val="heading 4"/>
    <w:basedOn w:val="Normal"/>
    <w:next w:val="Normal"/>
    <w:pPr>
      <w:keepNext/>
      <w:keepLines/>
      <w:spacing w:before="40"/>
      <w:ind w:left="864" w:hanging="864"/>
      <w:outlineLvl w:val="3"/>
    </w:pPr>
    <w:rPr>
      <w:rFonts w:ascii="Cambria" w:eastAsia="Cambria" w:hAnsi="Cambria" w:cs="Cambria"/>
      <w:i/>
      <w:color w:val="366091"/>
    </w:rPr>
  </w:style>
  <w:style w:type="paragraph" w:styleId="Ttulo5">
    <w:name w:val="heading 5"/>
    <w:basedOn w:val="Normal"/>
    <w:next w:val="Normal"/>
    <w:pPr>
      <w:keepNext/>
      <w:keepLines/>
      <w:spacing w:before="40"/>
      <w:ind w:left="1008" w:hanging="1008"/>
      <w:outlineLvl w:val="4"/>
    </w:pPr>
    <w:rPr>
      <w:rFonts w:ascii="Cambria" w:eastAsia="Cambria" w:hAnsi="Cambria" w:cs="Cambria"/>
      <w:color w:val="366091"/>
    </w:rPr>
  </w:style>
  <w:style w:type="paragraph" w:styleId="Ttulo6">
    <w:name w:val="heading 6"/>
    <w:basedOn w:val="Normal"/>
    <w:next w:val="Normal"/>
    <w:pPr>
      <w:keepNext/>
      <w:keepLines/>
      <w:spacing w:before="40"/>
      <w:ind w:left="1152" w:hanging="1152"/>
      <w:outlineLvl w:val="5"/>
    </w:pPr>
    <w:rPr>
      <w:rFonts w:ascii="Cambria" w:eastAsia="Cambria" w:hAnsi="Cambria" w:cs="Cambria"/>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tabs>
        <w:tab w:val="center" w:pos="7655"/>
      </w:tabs>
    </w:pPr>
    <w:rPr>
      <w:rFonts w:ascii="Arial" w:eastAsia="Arial" w:hAnsi="Arial" w:cs="Arial"/>
      <w:b/>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28" w:type="dxa"/>
        <w:bottom w:w="0" w:type="dxa"/>
        <w:right w:w="28" w:type="dxa"/>
      </w:tblCellMar>
    </w:tblPr>
  </w:style>
  <w:style w:type="paragraph" w:styleId="Encabezado">
    <w:name w:val="header"/>
    <w:basedOn w:val="Normal"/>
    <w:link w:val="EncabezadoCar"/>
    <w:uiPriority w:val="99"/>
    <w:unhideWhenUsed/>
    <w:rsid w:val="006E11AF"/>
    <w:pPr>
      <w:tabs>
        <w:tab w:val="center" w:pos="4419"/>
        <w:tab w:val="right" w:pos="8838"/>
      </w:tabs>
    </w:pPr>
  </w:style>
  <w:style w:type="character" w:customStyle="1" w:styleId="EncabezadoCar">
    <w:name w:val="Encabezado Car"/>
    <w:basedOn w:val="Fuentedeprrafopredeter"/>
    <w:link w:val="Encabezado"/>
    <w:uiPriority w:val="99"/>
    <w:rsid w:val="006E11AF"/>
  </w:style>
  <w:style w:type="paragraph" w:styleId="Piedepgina">
    <w:name w:val="footer"/>
    <w:basedOn w:val="Normal"/>
    <w:link w:val="PiedepginaCar"/>
    <w:uiPriority w:val="99"/>
    <w:unhideWhenUsed/>
    <w:rsid w:val="006E11AF"/>
    <w:pPr>
      <w:tabs>
        <w:tab w:val="center" w:pos="4419"/>
        <w:tab w:val="right" w:pos="8838"/>
      </w:tabs>
    </w:pPr>
  </w:style>
  <w:style w:type="character" w:customStyle="1" w:styleId="PiedepginaCar">
    <w:name w:val="Pie de página Car"/>
    <w:basedOn w:val="Fuentedeprrafopredeter"/>
    <w:link w:val="Piedepgina"/>
    <w:uiPriority w:val="99"/>
    <w:rsid w:val="006E11AF"/>
  </w:style>
  <w:style w:type="paragraph" w:styleId="NormalWeb">
    <w:name w:val="Normal (Web)"/>
    <w:basedOn w:val="Normal"/>
    <w:uiPriority w:val="99"/>
    <w:semiHidden/>
    <w:unhideWhenUsed/>
    <w:rsid w:val="00B57AEC"/>
    <w:pPr>
      <w:spacing w:before="100" w:beforeAutospacing="1" w:after="100" w:afterAutospacing="1"/>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0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Diana Marcela</dc:creator>
  <cp:lastModifiedBy>Tovar, Diana Marcela</cp:lastModifiedBy>
  <cp:revision>2</cp:revision>
  <dcterms:created xsi:type="dcterms:W3CDTF">2019-05-08T20:08:00Z</dcterms:created>
  <dcterms:modified xsi:type="dcterms:W3CDTF">2019-05-08T20:08:00Z</dcterms:modified>
</cp:coreProperties>
</file>