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232" w:right="1502" w:firstLine="0"/>
        <w:jc w:val="left"/>
        <w:rPr>
          <w:sz w:val="56"/>
        </w:rPr>
      </w:pPr>
      <w:r>
        <w:rPr>
          <w:spacing w:val="-9"/>
          <w:sz w:val="56"/>
        </w:rPr>
        <w:t>Rendición </w:t>
      </w:r>
      <w:r>
        <w:rPr>
          <w:spacing w:val="-5"/>
          <w:sz w:val="56"/>
        </w:rPr>
        <w:t>de </w:t>
      </w:r>
      <w:r>
        <w:rPr>
          <w:spacing w:val="-9"/>
          <w:sz w:val="56"/>
        </w:rPr>
        <w:t>cuentas </w:t>
      </w:r>
      <w:r>
        <w:rPr>
          <w:spacing w:val="-5"/>
          <w:sz w:val="56"/>
        </w:rPr>
        <w:t>de la</w:t>
      </w:r>
      <w:r>
        <w:rPr>
          <w:spacing w:val="-74"/>
          <w:sz w:val="56"/>
        </w:rPr>
        <w:t> </w:t>
      </w:r>
      <w:r>
        <w:rPr>
          <w:spacing w:val="-10"/>
          <w:sz w:val="56"/>
        </w:rPr>
        <w:t>Secretaría </w:t>
      </w:r>
      <w:r>
        <w:rPr>
          <w:spacing w:val="-5"/>
          <w:sz w:val="56"/>
        </w:rPr>
        <w:t>de </w:t>
      </w:r>
      <w:r>
        <w:rPr>
          <w:spacing w:val="-10"/>
          <w:sz w:val="56"/>
        </w:rPr>
        <w:t>Seguridad </w:t>
      </w:r>
      <w:r>
        <w:rPr>
          <w:sz w:val="56"/>
        </w:rPr>
        <w:t>y </w:t>
      </w:r>
      <w:r>
        <w:rPr>
          <w:spacing w:val="-10"/>
          <w:sz w:val="56"/>
        </w:rPr>
        <w:t>Justicia</w:t>
      </w:r>
    </w:p>
    <w:p>
      <w:pPr>
        <w:pStyle w:val="BodyText"/>
        <w:spacing w:before="549"/>
        <w:ind w:left="232" w:right="1323"/>
        <w:jc w:val="both"/>
      </w:pPr>
      <w:r>
        <w:rPr/>
        <w:t>Para la reducción de los delitos de alto impacto la Secretaría de Seguridad y Justicia ha implementado acciones como patrullajes conjuntos, intervenciones integrales, prevención situacional del delito, garantías al acceso a la justicia y control carcelario y penitenciario.</w:t>
      </w:r>
    </w:p>
    <w:p>
      <w:pPr>
        <w:pStyle w:val="BodyText"/>
      </w:pPr>
    </w:p>
    <w:p>
      <w:pPr>
        <w:pStyle w:val="BodyText"/>
        <w:ind w:left="232" w:right="1321"/>
        <w:jc w:val="both"/>
      </w:pPr>
      <w:r>
        <w:rPr/>
        <w:t>A continuación, se presenta la información relacionada de rendición de cuentas de la Se- cretaría de Seguridad y Justicia la cual hace referencia a los diferentes proyectos y accio- nes desarrolladas desde cada una de las subsecretarías, así como los temas estratégicos.</w:t>
      </w:r>
    </w:p>
    <w:p>
      <w:pPr>
        <w:pStyle w:val="BodyText"/>
        <w:rPr>
          <w:sz w:val="26"/>
        </w:rPr>
      </w:pPr>
    </w:p>
    <w:p>
      <w:pPr>
        <w:pStyle w:val="BodyText"/>
        <w:spacing w:before="2"/>
        <w:rPr>
          <w:sz w:val="22"/>
        </w:rPr>
      </w:pPr>
    </w:p>
    <w:p>
      <w:pPr>
        <w:pStyle w:val="Heading2"/>
        <w:ind w:left="723" w:right="1814"/>
        <w:jc w:val="center"/>
      </w:pPr>
      <w:r>
        <w:rPr/>
        <w:t>Presupuesto de inversión Secretaría de Seguridad y Justicia 2019</w:t>
      </w:r>
    </w:p>
    <w:p>
      <w:pPr>
        <w:pStyle w:val="BodyText"/>
        <w:rPr>
          <w:b/>
          <w:sz w:val="34"/>
        </w:rPr>
      </w:pPr>
    </w:p>
    <w:p>
      <w:pPr>
        <w:spacing w:before="0"/>
        <w:ind w:left="720" w:right="1814" w:firstLine="0"/>
        <w:jc w:val="center"/>
        <w:rPr>
          <w:rFonts w:ascii="Times New Roman" w:hAnsi="Times New Roman"/>
          <w:i/>
          <w:sz w:val="24"/>
        </w:rPr>
      </w:pPr>
      <w:r>
        <w:rPr>
          <w:rFonts w:ascii="Times New Roman" w:hAnsi="Times New Roman"/>
          <w:i/>
          <w:sz w:val="24"/>
        </w:rPr>
        <w:t>Tabla 1 Detalle Presupuesto Inversión 2019</w:t>
      </w:r>
    </w:p>
    <w:p>
      <w:pPr>
        <w:pStyle w:val="BodyText"/>
        <w:spacing w:before="1"/>
        <w:rPr>
          <w:rFonts w:ascii="Times New Roman"/>
          <w:i/>
          <w:sz w:val="11"/>
        </w:rPr>
      </w:pPr>
    </w:p>
    <w:tbl>
      <w:tblPr>
        <w:tblW w:w="0" w:type="auto"/>
        <w:jc w:val="left"/>
        <w:tblInd w:w="1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7"/>
        <w:gridCol w:w="2357"/>
      </w:tblGrid>
      <w:tr>
        <w:trPr>
          <w:trHeight w:val="561" w:hRule="atLeast"/>
        </w:trPr>
        <w:tc>
          <w:tcPr>
            <w:tcW w:w="4117" w:type="dxa"/>
          </w:tcPr>
          <w:p>
            <w:pPr>
              <w:pStyle w:val="TableParagraph"/>
              <w:spacing w:line="271" w:lineRule="exact"/>
              <w:ind w:left="110"/>
              <w:rPr>
                <w:sz w:val="24"/>
              </w:rPr>
            </w:pPr>
            <w:r>
              <w:rPr>
                <w:sz w:val="24"/>
              </w:rPr>
              <w:t>Total, General</w:t>
            </w:r>
          </w:p>
        </w:tc>
        <w:tc>
          <w:tcPr>
            <w:tcW w:w="2357" w:type="dxa"/>
          </w:tcPr>
          <w:p>
            <w:pPr>
              <w:pStyle w:val="TableParagraph"/>
              <w:spacing w:line="282" w:lineRule="exact"/>
              <w:ind w:left="107"/>
              <w:rPr>
                <w:rFonts w:ascii="Calibri"/>
                <w:b/>
                <w:sz w:val="22"/>
              </w:rPr>
            </w:pPr>
            <w:r>
              <w:rPr>
                <w:b/>
                <w:sz w:val="24"/>
              </w:rPr>
              <w:t>$ </w:t>
            </w:r>
            <w:r>
              <w:rPr>
                <w:rFonts w:ascii="Calibri"/>
                <w:b/>
                <w:sz w:val="22"/>
              </w:rPr>
              <w:t>90.557.383.082</w:t>
            </w:r>
          </w:p>
        </w:tc>
      </w:tr>
      <w:tr>
        <w:trPr>
          <w:trHeight w:val="570" w:hRule="atLeast"/>
        </w:trPr>
        <w:tc>
          <w:tcPr>
            <w:tcW w:w="4117" w:type="dxa"/>
          </w:tcPr>
          <w:p>
            <w:pPr>
              <w:pStyle w:val="TableParagraph"/>
              <w:spacing w:line="271" w:lineRule="exact"/>
              <w:ind w:left="110"/>
              <w:rPr>
                <w:sz w:val="24"/>
              </w:rPr>
            </w:pPr>
            <w:r>
              <w:rPr>
                <w:sz w:val="24"/>
              </w:rPr>
              <w:t>Presupuesto Inversión</w:t>
            </w:r>
          </w:p>
        </w:tc>
        <w:tc>
          <w:tcPr>
            <w:tcW w:w="2357" w:type="dxa"/>
          </w:tcPr>
          <w:p>
            <w:pPr>
              <w:pStyle w:val="TableParagraph"/>
              <w:spacing w:line="265" w:lineRule="exact"/>
              <w:ind w:left="107"/>
              <w:rPr>
                <w:rFonts w:ascii="Calibri"/>
                <w:sz w:val="22"/>
              </w:rPr>
            </w:pPr>
            <w:r>
              <w:rPr>
                <w:rFonts w:ascii="Calibri"/>
                <w:sz w:val="22"/>
              </w:rPr>
              <w:t>$89.253.435.342</w:t>
            </w:r>
          </w:p>
        </w:tc>
      </w:tr>
      <w:tr>
        <w:trPr>
          <w:trHeight w:val="544" w:hRule="atLeast"/>
        </w:trPr>
        <w:tc>
          <w:tcPr>
            <w:tcW w:w="4117" w:type="dxa"/>
          </w:tcPr>
          <w:p>
            <w:pPr>
              <w:pStyle w:val="TableParagraph"/>
              <w:spacing w:line="271" w:lineRule="exact"/>
              <w:ind w:left="110"/>
              <w:rPr>
                <w:sz w:val="24"/>
              </w:rPr>
            </w:pPr>
            <w:r>
              <w:rPr>
                <w:sz w:val="24"/>
              </w:rPr>
              <w:t>Presupuesto Funcionamiento</w:t>
            </w:r>
          </w:p>
        </w:tc>
        <w:tc>
          <w:tcPr>
            <w:tcW w:w="2357" w:type="dxa"/>
          </w:tcPr>
          <w:p>
            <w:pPr>
              <w:pStyle w:val="TableParagraph"/>
              <w:spacing w:line="265" w:lineRule="exact"/>
              <w:ind w:left="107"/>
              <w:rPr>
                <w:rFonts w:ascii="Calibri"/>
                <w:sz w:val="22"/>
              </w:rPr>
            </w:pPr>
            <w:r>
              <w:rPr>
                <w:rFonts w:ascii="Calibri"/>
                <w:sz w:val="22"/>
              </w:rPr>
              <w:t>$1.303.947.740</w:t>
            </w:r>
          </w:p>
        </w:tc>
      </w:tr>
    </w:tbl>
    <w:p>
      <w:pPr>
        <w:pStyle w:val="BodyText"/>
        <w:spacing w:before="8"/>
        <w:rPr>
          <w:rFonts w:ascii="Times New Roman"/>
          <w:i/>
          <w:sz w:val="37"/>
        </w:rPr>
      </w:pPr>
    </w:p>
    <w:p>
      <w:pPr>
        <w:spacing w:before="0"/>
        <w:ind w:left="720" w:right="1814" w:firstLine="0"/>
        <w:jc w:val="center"/>
        <w:rPr>
          <w:rFonts w:ascii="Times New Roman" w:hAnsi="Times New Roman"/>
          <w:i/>
          <w:sz w:val="24"/>
        </w:rPr>
      </w:pPr>
      <w:r>
        <w:rPr>
          <w:rFonts w:ascii="Times New Roman" w:hAnsi="Times New Roman"/>
          <w:i/>
          <w:sz w:val="24"/>
        </w:rPr>
        <w:t>Tabla 2 Ejecución Presupuesto Inversión a Julio 2019</w:t>
      </w:r>
    </w:p>
    <w:p>
      <w:pPr>
        <w:pStyle w:val="BodyText"/>
        <w:spacing w:before="2"/>
        <w:rPr>
          <w:rFonts w:ascii="Times New Roman"/>
          <w:i/>
          <w:sz w:val="11"/>
        </w:rPr>
      </w:pPr>
    </w:p>
    <w:tbl>
      <w:tblPr>
        <w:tblW w:w="0" w:type="auto"/>
        <w:jc w:val="left"/>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5"/>
        <w:gridCol w:w="2162"/>
        <w:gridCol w:w="1631"/>
      </w:tblGrid>
      <w:tr>
        <w:trPr>
          <w:trHeight w:val="604" w:hRule="atLeast"/>
        </w:trPr>
        <w:tc>
          <w:tcPr>
            <w:tcW w:w="2165" w:type="dxa"/>
          </w:tcPr>
          <w:p>
            <w:pPr>
              <w:pStyle w:val="TableParagraph"/>
              <w:ind w:left="110" w:right="249"/>
              <w:rPr>
                <w:sz w:val="24"/>
              </w:rPr>
            </w:pPr>
            <w:r>
              <w:rPr>
                <w:sz w:val="24"/>
              </w:rPr>
              <w:t>Valor </w:t>
            </w:r>
            <w:r>
              <w:rPr>
                <w:w w:val="95"/>
                <w:sz w:val="24"/>
              </w:rPr>
              <w:t>presupuesto</w:t>
            </w:r>
          </w:p>
        </w:tc>
        <w:tc>
          <w:tcPr>
            <w:tcW w:w="2162" w:type="dxa"/>
          </w:tcPr>
          <w:p>
            <w:pPr>
              <w:pStyle w:val="TableParagraph"/>
              <w:spacing w:line="271" w:lineRule="exact"/>
              <w:ind w:right="373"/>
              <w:jc w:val="right"/>
              <w:rPr>
                <w:sz w:val="24"/>
              </w:rPr>
            </w:pPr>
            <w:r>
              <w:rPr>
                <w:sz w:val="24"/>
              </w:rPr>
              <w:t>Valor ejecutado</w:t>
            </w:r>
          </w:p>
        </w:tc>
        <w:tc>
          <w:tcPr>
            <w:tcW w:w="1631" w:type="dxa"/>
            <w:vMerge w:val="restart"/>
          </w:tcPr>
          <w:p>
            <w:pPr>
              <w:pStyle w:val="TableParagraph"/>
              <w:rPr>
                <w:rFonts w:ascii="Times New Roman"/>
                <w:i/>
                <w:sz w:val="26"/>
              </w:rPr>
            </w:pPr>
          </w:p>
          <w:p>
            <w:pPr>
              <w:pStyle w:val="TableParagraph"/>
              <w:spacing w:before="150"/>
              <w:ind w:left="169"/>
              <w:rPr>
                <w:sz w:val="24"/>
              </w:rPr>
            </w:pPr>
            <w:r>
              <w:rPr>
                <w:sz w:val="24"/>
              </w:rPr>
              <w:t>% ejecución</w:t>
            </w:r>
          </w:p>
        </w:tc>
      </w:tr>
      <w:tr>
        <w:trPr>
          <w:trHeight w:val="570" w:hRule="atLeast"/>
        </w:trPr>
        <w:tc>
          <w:tcPr>
            <w:tcW w:w="2165" w:type="dxa"/>
          </w:tcPr>
          <w:p>
            <w:pPr>
              <w:pStyle w:val="TableParagraph"/>
              <w:tabs>
                <w:tab w:pos="1791" w:val="left" w:leader="none"/>
              </w:tabs>
              <w:ind w:left="110" w:right="95"/>
              <w:rPr>
                <w:sz w:val="24"/>
              </w:rPr>
            </w:pPr>
            <w:r>
              <w:rPr>
                <w:sz w:val="24"/>
              </w:rPr>
              <w:t>(millones</w:t>
              <w:tab/>
            </w:r>
            <w:r>
              <w:rPr>
                <w:spacing w:val="-9"/>
                <w:sz w:val="24"/>
              </w:rPr>
              <w:t>de </w:t>
            </w:r>
            <w:r>
              <w:rPr>
                <w:sz w:val="24"/>
              </w:rPr>
              <w:t>pesos)</w:t>
            </w:r>
          </w:p>
        </w:tc>
        <w:tc>
          <w:tcPr>
            <w:tcW w:w="2162" w:type="dxa"/>
          </w:tcPr>
          <w:p>
            <w:pPr>
              <w:pStyle w:val="TableParagraph"/>
              <w:tabs>
                <w:tab w:pos="1789" w:val="left" w:leader="none"/>
              </w:tabs>
              <w:ind w:left="108" w:right="94"/>
              <w:rPr>
                <w:sz w:val="24"/>
              </w:rPr>
            </w:pPr>
            <w:r>
              <w:rPr>
                <w:sz w:val="24"/>
              </w:rPr>
              <w:t>(millones</w:t>
              <w:tab/>
            </w:r>
            <w:r>
              <w:rPr>
                <w:spacing w:val="-9"/>
                <w:sz w:val="24"/>
              </w:rPr>
              <w:t>de </w:t>
            </w:r>
            <w:r>
              <w:rPr>
                <w:sz w:val="24"/>
              </w:rPr>
              <w:t>pesos)</w:t>
            </w:r>
          </w:p>
        </w:tc>
        <w:tc>
          <w:tcPr>
            <w:tcW w:w="1631" w:type="dxa"/>
            <w:vMerge/>
            <w:tcBorders>
              <w:top w:val="nil"/>
            </w:tcBorders>
          </w:tcPr>
          <w:p>
            <w:pPr>
              <w:rPr>
                <w:sz w:val="2"/>
                <w:szCs w:val="2"/>
              </w:rPr>
            </w:pPr>
          </w:p>
        </w:tc>
      </w:tr>
      <w:tr>
        <w:trPr>
          <w:trHeight w:val="544" w:hRule="atLeast"/>
        </w:trPr>
        <w:tc>
          <w:tcPr>
            <w:tcW w:w="2165" w:type="dxa"/>
          </w:tcPr>
          <w:p>
            <w:pPr>
              <w:pStyle w:val="TableParagraph"/>
              <w:spacing w:before="38"/>
              <w:ind w:left="304"/>
              <w:rPr>
                <w:b/>
                <w:sz w:val="20"/>
              </w:rPr>
            </w:pPr>
            <w:r>
              <w:rPr>
                <w:b/>
                <w:sz w:val="20"/>
              </w:rPr>
              <w:t>$ 90.557.383.082</w:t>
            </w:r>
          </w:p>
        </w:tc>
        <w:tc>
          <w:tcPr>
            <w:tcW w:w="2162" w:type="dxa"/>
          </w:tcPr>
          <w:p>
            <w:pPr>
              <w:pStyle w:val="TableParagraph"/>
              <w:spacing w:before="38"/>
              <w:ind w:right="321"/>
              <w:jc w:val="right"/>
              <w:rPr>
                <w:b/>
                <w:sz w:val="20"/>
              </w:rPr>
            </w:pPr>
            <w:r>
              <w:rPr>
                <w:b/>
                <w:w w:val="95"/>
                <w:sz w:val="20"/>
              </w:rPr>
              <w:t>$49.963.264.813</w:t>
            </w:r>
          </w:p>
        </w:tc>
        <w:tc>
          <w:tcPr>
            <w:tcW w:w="1631" w:type="dxa"/>
          </w:tcPr>
          <w:p>
            <w:pPr>
              <w:pStyle w:val="TableParagraph"/>
              <w:spacing w:before="38"/>
              <w:ind w:left="568" w:right="557"/>
              <w:jc w:val="center"/>
              <w:rPr>
                <w:b/>
                <w:sz w:val="20"/>
              </w:rPr>
            </w:pPr>
            <w:r>
              <w:rPr>
                <w:b/>
                <w:sz w:val="20"/>
              </w:rPr>
              <w:t>% 55</w:t>
            </w:r>
          </w:p>
        </w:tc>
      </w:tr>
    </w:tbl>
    <w:p>
      <w:pPr>
        <w:pStyle w:val="BodyText"/>
        <w:spacing w:before="6"/>
        <w:rPr>
          <w:rFonts w:ascii="Times New Roman"/>
          <w:i/>
          <w:sz w:val="27"/>
        </w:rPr>
      </w:pPr>
    </w:p>
    <w:p>
      <w:pPr>
        <w:spacing w:before="1"/>
        <w:ind w:left="723" w:right="1810" w:firstLine="0"/>
        <w:jc w:val="center"/>
        <w:rPr>
          <w:b/>
          <w:sz w:val="24"/>
        </w:rPr>
      </w:pPr>
      <w:r>
        <w:rPr>
          <w:b/>
          <w:sz w:val="24"/>
        </w:rPr>
        <w:t>Total, Proyectos 2019: 37</w:t>
      </w:r>
    </w:p>
    <w:p>
      <w:pPr>
        <w:spacing w:after="0"/>
        <w:jc w:val="center"/>
        <w:rPr>
          <w:sz w:val="24"/>
        </w:rPr>
        <w:sectPr>
          <w:footerReference w:type="default" r:id="rId5"/>
          <w:type w:val="continuous"/>
          <w:pgSz w:w="12240" w:h="15840"/>
          <w:pgMar w:footer="897" w:top="760" w:bottom="1080" w:left="900" w:right="0"/>
          <w:pgNumType w:start="1"/>
        </w:sectPr>
      </w:pPr>
    </w:p>
    <w:p>
      <w:pPr>
        <w:pStyle w:val="BodyText"/>
        <w:spacing w:before="76"/>
        <w:ind w:left="232"/>
      </w:pPr>
      <w:r>
        <w:rPr/>
        <w:pict>
          <v:shape style="position:absolute;margin-left:128.020004pt;margin-top:85.706894pt;width:12pt;height:69.3pt;mso-position-horizontal-relative:page;mso-position-vertical-relative:paragraph;z-index:251662336" type="#_x0000_t202" filled="false" stroked="false">
            <v:textbox inset="0,0,0,0" style="layout-flow:vertical;mso-layout-flow-alt:bottom-to-top">
              <w:txbxContent>
                <w:p>
                  <w:pPr>
                    <w:spacing w:line="223" w:lineRule="exact" w:before="0"/>
                    <w:ind w:left="20" w:right="0" w:firstLine="0"/>
                    <w:jc w:val="left"/>
                    <w:rPr>
                      <w:rFonts w:ascii="Calibri"/>
                      <w:b/>
                      <w:sz w:val="20"/>
                    </w:rPr>
                  </w:pPr>
                  <w:r>
                    <w:rPr>
                      <w:rFonts w:ascii="Calibri"/>
                      <w:b/>
                      <w:sz w:val="20"/>
                    </w:rPr>
                    <w:t>% cumplimiento</w:t>
                  </w:r>
                </w:p>
              </w:txbxContent>
            </v:textbox>
            <w10:wrap type="none"/>
          </v:shape>
        </w:pict>
      </w:r>
      <w:r>
        <w:rPr/>
        <w:t>En la siguiente grafica se evidencia el comparativo de ejecución 2016 – 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tbl>
      <w:tblPr>
        <w:tblW w:w="0" w:type="auto"/>
        <w:jc w:val="left"/>
        <w:tblInd w:w="174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415"/>
        <w:gridCol w:w="451"/>
        <w:gridCol w:w="449"/>
        <w:gridCol w:w="451"/>
        <w:gridCol w:w="451"/>
        <w:gridCol w:w="449"/>
        <w:gridCol w:w="451"/>
        <w:gridCol w:w="451"/>
        <w:gridCol w:w="449"/>
        <w:gridCol w:w="451"/>
        <w:gridCol w:w="451"/>
        <w:gridCol w:w="449"/>
        <w:gridCol w:w="451"/>
      </w:tblGrid>
      <w:tr>
        <w:trPr>
          <w:trHeight w:val="251" w:hRule="atLeast"/>
        </w:trPr>
        <w:tc>
          <w:tcPr>
            <w:tcW w:w="415" w:type="dxa"/>
            <w:tcBorders>
              <w:top w:val="nil"/>
              <w:left w:val="nil"/>
              <w:right w:val="nil"/>
            </w:tcBorders>
          </w:tcPr>
          <w:p>
            <w:pPr>
              <w:pStyle w:val="TableParagraph"/>
              <w:rPr>
                <w:rFonts w:ascii="Times New Roman"/>
                <w:sz w:val="18"/>
              </w:rPr>
            </w:pPr>
          </w:p>
        </w:tc>
        <w:tc>
          <w:tcPr>
            <w:tcW w:w="451" w:type="dxa"/>
            <w:tcBorders>
              <w:top w:val="nil"/>
              <w:left w:val="nil"/>
            </w:tcBorders>
          </w:tcPr>
          <w:p>
            <w:pPr>
              <w:pStyle w:val="TableParagraph"/>
              <w:spacing w:before="21"/>
              <w:ind w:left="96"/>
              <w:rPr>
                <w:rFonts w:ascii="Calibri"/>
                <w:sz w:val="16"/>
              </w:rPr>
            </w:pPr>
            <w:r>
              <w:rPr>
                <w:rFonts w:ascii="Calibri"/>
                <w:sz w:val="16"/>
              </w:rPr>
              <w:t>ENE</w:t>
            </w:r>
          </w:p>
        </w:tc>
        <w:tc>
          <w:tcPr>
            <w:tcW w:w="449" w:type="dxa"/>
            <w:tcBorders>
              <w:top w:val="nil"/>
            </w:tcBorders>
          </w:tcPr>
          <w:p>
            <w:pPr>
              <w:pStyle w:val="TableParagraph"/>
              <w:spacing w:before="21"/>
              <w:ind w:left="42" w:right="41"/>
              <w:jc w:val="center"/>
              <w:rPr>
                <w:rFonts w:ascii="Calibri"/>
                <w:sz w:val="16"/>
              </w:rPr>
            </w:pPr>
            <w:r>
              <w:rPr>
                <w:rFonts w:ascii="Calibri"/>
                <w:sz w:val="16"/>
              </w:rPr>
              <w:t>FEB</w:t>
            </w:r>
          </w:p>
        </w:tc>
        <w:tc>
          <w:tcPr>
            <w:tcW w:w="451" w:type="dxa"/>
            <w:tcBorders>
              <w:top w:val="nil"/>
            </w:tcBorders>
          </w:tcPr>
          <w:p>
            <w:pPr>
              <w:pStyle w:val="TableParagraph"/>
              <w:spacing w:before="21"/>
              <w:ind w:left="41" w:right="37"/>
              <w:jc w:val="center"/>
              <w:rPr>
                <w:rFonts w:ascii="Calibri"/>
                <w:sz w:val="16"/>
              </w:rPr>
            </w:pPr>
            <w:r>
              <w:rPr>
                <w:rFonts w:ascii="Calibri"/>
                <w:sz w:val="16"/>
              </w:rPr>
              <w:t>MAR</w:t>
            </w:r>
          </w:p>
        </w:tc>
        <w:tc>
          <w:tcPr>
            <w:tcW w:w="451" w:type="dxa"/>
            <w:tcBorders>
              <w:top w:val="nil"/>
            </w:tcBorders>
          </w:tcPr>
          <w:p>
            <w:pPr>
              <w:pStyle w:val="TableParagraph"/>
              <w:spacing w:before="21"/>
              <w:ind w:left="85"/>
              <w:rPr>
                <w:rFonts w:ascii="Calibri"/>
                <w:sz w:val="16"/>
              </w:rPr>
            </w:pPr>
            <w:r>
              <w:rPr>
                <w:rFonts w:ascii="Calibri"/>
                <w:sz w:val="16"/>
              </w:rPr>
              <w:t>ABR</w:t>
            </w:r>
          </w:p>
        </w:tc>
        <w:tc>
          <w:tcPr>
            <w:tcW w:w="449" w:type="dxa"/>
            <w:tcBorders>
              <w:top w:val="nil"/>
            </w:tcBorders>
          </w:tcPr>
          <w:p>
            <w:pPr>
              <w:pStyle w:val="TableParagraph"/>
              <w:spacing w:before="21"/>
              <w:ind w:left="45" w:right="41"/>
              <w:jc w:val="center"/>
              <w:rPr>
                <w:rFonts w:ascii="Calibri"/>
                <w:sz w:val="16"/>
              </w:rPr>
            </w:pPr>
            <w:r>
              <w:rPr>
                <w:rFonts w:ascii="Calibri"/>
                <w:sz w:val="16"/>
              </w:rPr>
              <w:t>MAY</w:t>
            </w:r>
          </w:p>
        </w:tc>
        <w:tc>
          <w:tcPr>
            <w:tcW w:w="451" w:type="dxa"/>
            <w:tcBorders>
              <w:top w:val="nil"/>
            </w:tcBorders>
          </w:tcPr>
          <w:p>
            <w:pPr>
              <w:pStyle w:val="TableParagraph"/>
              <w:spacing w:before="21"/>
              <w:ind w:left="41" w:right="37"/>
              <w:jc w:val="center"/>
              <w:rPr>
                <w:rFonts w:ascii="Calibri"/>
                <w:sz w:val="16"/>
              </w:rPr>
            </w:pPr>
            <w:r>
              <w:rPr>
                <w:rFonts w:ascii="Calibri"/>
                <w:sz w:val="16"/>
              </w:rPr>
              <w:t>JUN</w:t>
            </w:r>
          </w:p>
        </w:tc>
        <w:tc>
          <w:tcPr>
            <w:tcW w:w="451" w:type="dxa"/>
            <w:tcBorders>
              <w:top w:val="nil"/>
            </w:tcBorders>
          </w:tcPr>
          <w:p>
            <w:pPr>
              <w:pStyle w:val="TableParagraph"/>
              <w:spacing w:before="21"/>
              <w:ind w:left="108"/>
              <w:rPr>
                <w:rFonts w:ascii="Calibri"/>
                <w:sz w:val="16"/>
              </w:rPr>
            </w:pPr>
            <w:r>
              <w:rPr>
                <w:rFonts w:ascii="Calibri"/>
                <w:sz w:val="16"/>
              </w:rPr>
              <w:t>JUL</w:t>
            </w:r>
          </w:p>
        </w:tc>
        <w:tc>
          <w:tcPr>
            <w:tcW w:w="449" w:type="dxa"/>
            <w:tcBorders>
              <w:top w:val="nil"/>
            </w:tcBorders>
          </w:tcPr>
          <w:p>
            <w:pPr>
              <w:pStyle w:val="TableParagraph"/>
              <w:spacing w:before="21"/>
              <w:ind w:left="45" w:right="41"/>
              <w:jc w:val="center"/>
              <w:rPr>
                <w:rFonts w:ascii="Calibri"/>
                <w:sz w:val="16"/>
              </w:rPr>
            </w:pPr>
            <w:r>
              <w:rPr>
                <w:rFonts w:ascii="Calibri"/>
                <w:sz w:val="16"/>
              </w:rPr>
              <w:t>AGO</w:t>
            </w:r>
          </w:p>
        </w:tc>
        <w:tc>
          <w:tcPr>
            <w:tcW w:w="451" w:type="dxa"/>
            <w:tcBorders>
              <w:top w:val="nil"/>
            </w:tcBorders>
          </w:tcPr>
          <w:p>
            <w:pPr>
              <w:pStyle w:val="TableParagraph"/>
              <w:spacing w:before="21"/>
              <w:ind w:left="41" w:right="37"/>
              <w:jc w:val="center"/>
              <w:rPr>
                <w:rFonts w:ascii="Calibri"/>
                <w:sz w:val="16"/>
              </w:rPr>
            </w:pPr>
            <w:r>
              <w:rPr>
                <w:rFonts w:ascii="Calibri"/>
                <w:sz w:val="16"/>
              </w:rPr>
              <w:t>SEP</w:t>
            </w:r>
          </w:p>
        </w:tc>
        <w:tc>
          <w:tcPr>
            <w:tcW w:w="451" w:type="dxa"/>
            <w:tcBorders>
              <w:top w:val="nil"/>
            </w:tcBorders>
          </w:tcPr>
          <w:p>
            <w:pPr>
              <w:pStyle w:val="TableParagraph"/>
              <w:spacing w:before="21"/>
              <w:ind w:left="84"/>
              <w:rPr>
                <w:rFonts w:ascii="Calibri"/>
                <w:sz w:val="16"/>
              </w:rPr>
            </w:pPr>
            <w:r>
              <w:rPr>
                <w:rFonts w:ascii="Calibri"/>
                <w:sz w:val="16"/>
              </w:rPr>
              <w:t>OCT</w:t>
            </w:r>
          </w:p>
        </w:tc>
        <w:tc>
          <w:tcPr>
            <w:tcW w:w="449" w:type="dxa"/>
            <w:tcBorders>
              <w:top w:val="nil"/>
            </w:tcBorders>
          </w:tcPr>
          <w:p>
            <w:pPr>
              <w:pStyle w:val="TableParagraph"/>
              <w:spacing w:before="21"/>
              <w:ind w:left="68"/>
              <w:rPr>
                <w:rFonts w:ascii="Calibri"/>
                <w:sz w:val="16"/>
              </w:rPr>
            </w:pPr>
            <w:r>
              <w:rPr>
                <w:rFonts w:ascii="Calibri"/>
                <w:sz w:val="16"/>
              </w:rPr>
              <w:t>NOV</w:t>
            </w:r>
          </w:p>
        </w:tc>
        <w:tc>
          <w:tcPr>
            <w:tcW w:w="451" w:type="dxa"/>
            <w:tcBorders>
              <w:top w:val="nil"/>
              <w:right w:val="nil"/>
            </w:tcBorders>
          </w:tcPr>
          <w:p>
            <w:pPr>
              <w:pStyle w:val="TableParagraph"/>
              <w:spacing w:before="21"/>
              <w:ind w:left="108"/>
              <w:rPr>
                <w:rFonts w:ascii="Calibri"/>
                <w:sz w:val="16"/>
              </w:rPr>
            </w:pPr>
            <w:r>
              <w:rPr>
                <w:rFonts w:ascii="Calibri"/>
                <w:sz w:val="16"/>
              </w:rPr>
              <w:t>DIC</w:t>
            </w:r>
          </w:p>
        </w:tc>
      </w:tr>
      <w:tr>
        <w:trPr>
          <w:trHeight w:val="246" w:hRule="atLeast"/>
        </w:trPr>
        <w:tc>
          <w:tcPr>
            <w:tcW w:w="415" w:type="dxa"/>
            <w:tcBorders>
              <w:left w:val="nil"/>
              <w:right w:val="nil"/>
            </w:tcBorders>
          </w:tcPr>
          <w:p>
            <w:pPr>
              <w:pStyle w:val="TableParagraph"/>
              <w:spacing w:before="11"/>
              <w:ind w:right="50"/>
              <w:jc w:val="right"/>
              <w:rPr>
                <w:rFonts w:ascii="Calibri"/>
                <w:sz w:val="16"/>
              </w:rPr>
            </w:pPr>
            <w:r>
              <w:rPr>
                <w:rFonts w:ascii="Calibri"/>
                <w:sz w:val="16"/>
              </w:rPr>
              <w:t>2016</w:t>
            </w:r>
          </w:p>
        </w:tc>
        <w:tc>
          <w:tcPr>
            <w:tcW w:w="451" w:type="dxa"/>
            <w:tcBorders>
              <w:left w:val="nil"/>
            </w:tcBorders>
          </w:tcPr>
          <w:p>
            <w:pPr>
              <w:pStyle w:val="TableParagraph"/>
              <w:spacing w:before="15"/>
              <w:ind w:left="128"/>
              <w:rPr>
                <w:rFonts w:ascii="Calibri"/>
                <w:sz w:val="16"/>
              </w:rPr>
            </w:pPr>
            <w:r>
              <w:rPr>
                <w:rFonts w:ascii="Calibri"/>
                <w:sz w:val="16"/>
              </w:rPr>
              <w:t>0%</w:t>
            </w:r>
          </w:p>
        </w:tc>
        <w:tc>
          <w:tcPr>
            <w:tcW w:w="449" w:type="dxa"/>
          </w:tcPr>
          <w:p>
            <w:pPr>
              <w:pStyle w:val="TableParagraph"/>
              <w:spacing w:before="15"/>
              <w:ind w:left="43" w:right="41"/>
              <w:jc w:val="center"/>
              <w:rPr>
                <w:rFonts w:ascii="Calibri"/>
                <w:sz w:val="16"/>
              </w:rPr>
            </w:pPr>
            <w:r>
              <w:rPr>
                <w:rFonts w:ascii="Calibri"/>
                <w:sz w:val="16"/>
              </w:rPr>
              <w:t>2%</w:t>
            </w:r>
          </w:p>
        </w:tc>
        <w:tc>
          <w:tcPr>
            <w:tcW w:w="451" w:type="dxa"/>
          </w:tcPr>
          <w:p>
            <w:pPr>
              <w:pStyle w:val="TableParagraph"/>
              <w:spacing w:before="15"/>
              <w:ind w:left="41" w:right="37"/>
              <w:jc w:val="center"/>
              <w:rPr>
                <w:rFonts w:ascii="Calibri"/>
                <w:sz w:val="16"/>
              </w:rPr>
            </w:pPr>
            <w:r>
              <w:rPr>
                <w:rFonts w:ascii="Calibri"/>
                <w:sz w:val="16"/>
              </w:rPr>
              <w:t>5%</w:t>
            </w:r>
          </w:p>
        </w:tc>
        <w:tc>
          <w:tcPr>
            <w:tcW w:w="451" w:type="dxa"/>
          </w:tcPr>
          <w:p>
            <w:pPr>
              <w:pStyle w:val="TableParagraph"/>
              <w:spacing w:before="15"/>
              <w:ind w:left="121"/>
              <w:rPr>
                <w:rFonts w:ascii="Calibri"/>
                <w:sz w:val="16"/>
              </w:rPr>
            </w:pPr>
            <w:r>
              <w:rPr>
                <w:rFonts w:ascii="Calibri"/>
                <w:sz w:val="16"/>
              </w:rPr>
              <w:t>6%</w:t>
            </w:r>
          </w:p>
        </w:tc>
        <w:tc>
          <w:tcPr>
            <w:tcW w:w="449" w:type="dxa"/>
          </w:tcPr>
          <w:p>
            <w:pPr>
              <w:pStyle w:val="TableParagraph"/>
              <w:spacing w:before="15"/>
              <w:ind w:left="45" w:right="41"/>
              <w:jc w:val="center"/>
              <w:rPr>
                <w:rFonts w:ascii="Calibri"/>
                <w:sz w:val="16"/>
              </w:rPr>
            </w:pPr>
            <w:r>
              <w:rPr>
                <w:rFonts w:ascii="Calibri"/>
                <w:sz w:val="16"/>
              </w:rPr>
              <w:t>14%</w:t>
            </w:r>
          </w:p>
        </w:tc>
        <w:tc>
          <w:tcPr>
            <w:tcW w:w="451" w:type="dxa"/>
          </w:tcPr>
          <w:p>
            <w:pPr>
              <w:pStyle w:val="TableParagraph"/>
              <w:spacing w:before="15"/>
              <w:ind w:left="41" w:right="36"/>
              <w:jc w:val="center"/>
              <w:rPr>
                <w:rFonts w:ascii="Calibri"/>
                <w:sz w:val="16"/>
              </w:rPr>
            </w:pPr>
            <w:r>
              <w:rPr>
                <w:rFonts w:ascii="Calibri"/>
                <w:sz w:val="16"/>
              </w:rPr>
              <w:t>19%</w:t>
            </w:r>
          </w:p>
        </w:tc>
        <w:tc>
          <w:tcPr>
            <w:tcW w:w="451" w:type="dxa"/>
          </w:tcPr>
          <w:p>
            <w:pPr>
              <w:pStyle w:val="TableParagraph"/>
              <w:spacing w:before="15"/>
              <w:ind w:left="80"/>
              <w:rPr>
                <w:rFonts w:ascii="Calibri"/>
                <w:sz w:val="16"/>
              </w:rPr>
            </w:pPr>
            <w:r>
              <w:rPr>
                <w:rFonts w:ascii="Calibri"/>
                <w:sz w:val="16"/>
              </w:rPr>
              <w:t>42%</w:t>
            </w:r>
          </w:p>
        </w:tc>
        <w:tc>
          <w:tcPr>
            <w:tcW w:w="449" w:type="dxa"/>
          </w:tcPr>
          <w:p>
            <w:pPr>
              <w:pStyle w:val="TableParagraph"/>
              <w:spacing w:before="15"/>
              <w:ind w:left="45" w:right="41"/>
              <w:jc w:val="center"/>
              <w:rPr>
                <w:rFonts w:ascii="Calibri"/>
                <w:sz w:val="16"/>
              </w:rPr>
            </w:pPr>
            <w:r>
              <w:rPr>
                <w:rFonts w:ascii="Calibri"/>
                <w:sz w:val="16"/>
              </w:rPr>
              <w:t>42%</w:t>
            </w:r>
          </w:p>
        </w:tc>
        <w:tc>
          <w:tcPr>
            <w:tcW w:w="451" w:type="dxa"/>
          </w:tcPr>
          <w:p>
            <w:pPr>
              <w:pStyle w:val="TableParagraph"/>
              <w:spacing w:before="15"/>
              <w:ind w:left="41" w:right="35"/>
              <w:jc w:val="center"/>
              <w:rPr>
                <w:rFonts w:ascii="Calibri"/>
                <w:sz w:val="16"/>
              </w:rPr>
            </w:pPr>
            <w:r>
              <w:rPr>
                <w:rFonts w:ascii="Calibri"/>
                <w:sz w:val="16"/>
              </w:rPr>
              <w:t>44%</w:t>
            </w:r>
          </w:p>
        </w:tc>
        <w:tc>
          <w:tcPr>
            <w:tcW w:w="451" w:type="dxa"/>
          </w:tcPr>
          <w:p>
            <w:pPr>
              <w:pStyle w:val="TableParagraph"/>
              <w:spacing w:before="15"/>
              <w:ind w:left="81"/>
              <w:rPr>
                <w:rFonts w:ascii="Calibri"/>
                <w:sz w:val="16"/>
              </w:rPr>
            </w:pPr>
            <w:r>
              <w:rPr>
                <w:rFonts w:ascii="Calibri"/>
                <w:sz w:val="16"/>
              </w:rPr>
              <w:t>47%</w:t>
            </w:r>
          </w:p>
        </w:tc>
        <w:tc>
          <w:tcPr>
            <w:tcW w:w="449" w:type="dxa"/>
          </w:tcPr>
          <w:p>
            <w:pPr>
              <w:pStyle w:val="TableParagraph"/>
              <w:spacing w:before="15"/>
              <w:ind w:left="80"/>
              <w:rPr>
                <w:rFonts w:ascii="Calibri"/>
                <w:sz w:val="16"/>
              </w:rPr>
            </w:pPr>
            <w:r>
              <w:rPr>
                <w:rFonts w:ascii="Calibri"/>
                <w:sz w:val="16"/>
              </w:rPr>
              <w:t>59%</w:t>
            </w:r>
          </w:p>
        </w:tc>
        <w:tc>
          <w:tcPr>
            <w:tcW w:w="451" w:type="dxa"/>
            <w:tcBorders>
              <w:right w:val="nil"/>
            </w:tcBorders>
          </w:tcPr>
          <w:p>
            <w:pPr>
              <w:pStyle w:val="TableParagraph"/>
              <w:spacing w:before="15"/>
              <w:ind w:left="82"/>
              <w:rPr>
                <w:rFonts w:ascii="Calibri"/>
                <w:sz w:val="16"/>
              </w:rPr>
            </w:pPr>
            <w:r>
              <w:rPr>
                <w:rFonts w:ascii="Calibri"/>
                <w:sz w:val="16"/>
              </w:rPr>
              <w:t>69%</w:t>
            </w:r>
          </w:p>
        </w:tc>
      </w:tr>
      <w:tr>
        <w:trPr>
          <w:trHeight w:val="249" w:hRule="atLeast"/>
        </w:trPr>
        <w:tc>
          <w:tcPr>
            <w:tcW w:w="415" w:type="dxa"/>
            <w:tcBorders>
              <w:left w:val="nil"/>
              <w:right w:val="nil"/>
            </w:tcBorders>
          </w:tcPr>
          <w:p>
            <w:pPr>
              <w:pStyle w:val="TableParagraph"/>
              <w:spacing w:before="12"/>
              <w:ind w:right="50"/>
              <w:jc w:val="right"/>
              <w:rPr>
                <w:rFonts w:ascii="Calibri"/>
                <w:sz w:val="16"/>
              </w:rPr>
            </w:pPr>
            <w:r>
              <w:rPr>
                <w:rFonts w:ascii="Calibri"/>
                <w:sz w:val="16"/>
              </w:rPr>
              <w:t>2017</w:t>
            </w:r>
          </w:p>
        </w:tc>
        <w:tc>
          <w:tcPr>
            <w:tcW w:w="451" w:type="dxa"/>
            <w:tcBorders>
              <w:left w:val="nil"/>
            </w:tcBorders>
          </w:tcPr>
          <w:p>
            <w:pPr>
              <w:pStyle w:val="TableParagraph"/>
              <w:spacing w:before="16"/>
              <w:ind w:left="128"/>
              <w:rPr>
                <w:rFonts w:ascii="Calibri"/>
                <w:sz w:val="16"/>
              </w:rPr>
            </w:pPr>
            <w:r>
              <w:rPr>
                <w:rFonts w:ascii="Calibri"/>
                <w:sz w:val="16"/>
              </w:rPr>
              <w:t>1%</w:t>
            </w:r>
          </w:p>
        </w:tc>
        <w:tc>
          <w:tcPr>
            <w:tcW w:w="449" w:type="dxa"/>
          </w:tcPr>
          <w:p>
            <w:pPr>
              <w:pStyle w:val="TableParagraph"/>
              <w:spacing w:before="16"/>
              <w:ind w:left="44" w:right="41"/>
              <w:jc w:val="center"/>
              <w:rPr>
                <w:rFonts w:ascii="Calibri"/>
                <w:sz w:val="16"/>
              </w:rPr>
            </w:pPr>
            <w:r>
              <w:rPr>
                <w:rFonts w:ascii="Calibri"/>
                <w:sz w:val="16"/>
              </w:rPr>
              <w:t>11%</w:t>
            </w:r>
          </w:p>
        </w:tc>
        <w:tc>
          <w:tcPr>
            <w:tcW w:w="451" w:type="dxa"/>
          </w:tcPr>
          <w:p>
            <w:pPr>
              <w:pStyle w:val="TableParagraph"/>
              <w:spacing w:before="16"/>
              <w:ind w:left="41" w:right="37"/>
              <w:jc w:val="center"/>
              <w:rPr>
                <w:rFonts w:ascii="Calibri"/>
                <w:sz w:val="16"/>
              </w:rPr>
            </w:pPr>
            <w:r>
              <w:rPr>
                <w:rFonts w:ascii="Calibri"/>
                <w:sz w:val="16"/>
              </w:rPr>
              <w:t>24%</w:t>
            </w:r>
          </w:p>
        </w:tc>
        <w:tc>
          <w:tcPr>
            <w:tcW w:w="451" w:type="dxa"/>
          </w:tcPr>
          <w:p>
            <w:pPr>
              <w:pStyle w:val="TableParagraph"/>
              <w:spacing w:before="16"/>
              <w:ind w:left="80"/>
              <w:rPr>
                <w:rFonts w:ascii="Calibri"/>
                <w:sz w:val="16"/>
              </w:rPr>
            </w:pPr>
            <w:r>
              <w:rPr>
                <w:rFonts w:ascii="Calibri"/>
                <w:sz w:val="16"/>
              </w:rPr>
              <w:t>28%</w:t>
            </w:r>
          </w:p>
        </w:tc>
        <w:tc>
          <w:tcPr>
            <w:tcW w:w="449" w:type="dxa"/>
          </w:tcPr>
          <w:p>
            <w:pPr>
              <w:pStyle w:val="TableParagraph"/>
              <w:spacing w:before="16"/>
              <w:ind w:left="45" w:right="41"/>
              <w:jc w:val="center"/>
              <w:rPr>
                <w:rFonts w:ascii="Calibri"/>
                <w:sz w:val="16"/>
              </w:rPr>
            </w:pPr>
            <w:r>
              <w:rPr>
                <w:rFonts w:ascii="Calibri"/>
                <w:sz w:val="16"/>
              </w:rPr>
              <w:t>31%</w:t>
            </w:r>
          </w:p>
        </w:tc>
        <w:tc>
          <w:tcPr>
            <w:tcW w:w="451" w:type="dxa"/>
          </w:tcPr>
          <w:p>
            <w:pPr>
              <w:pStyle w:val="TableParagraph"/>
              <w:spacing w:before="16"/>
              <w:ind w:left="41" w:right="36"/>
              <w:jc w:val="center"/>
              <w:rPr>
                <w:rFonts w:ascii="Calibri"/>
                <w:sz w:val="16"/>
              </w:rPr>
            </w:pPr>
            <w:r>
              <w:rPr>
                <w:rFonts w:ascii="Calibri"/>
                <w:sz w:val="16"/>
              </w:rPr>
              <w:t>43%</w:t>
            </w:r>
          </w:p>
        </w:tc>
        <w:tc>
          <w:tcPr>
            <w:tcW w:w="451" w:type="dxa"/>
          </w:tcPr>
          <w:p>
            <w:pPr>
              <w:pStyle w:val="TableParagraph"/>
              <w:spacing w:before="16"/>
              <w:ind w:left="80"/>
              <w:rPr>
                <w:rFonts w:ascii="Calibri"/>
                <w:sz w:val="16"/>
              </w:rPr>
            </w:pPr>
            <w:r>
              <w:rPr>
                <w:rFonts w:ascii="Calibri"/>
                <w:sz w:val="16"/>
              </w:rPr>
              <w:t>51%</w:t>
            </w:r>
          </w:p>
        </w:tc>
        <w:tc>
          <w:tcPr>
            <w:tcW w:w="449" w:type="dxa"/>
          </w:tcPr>
          <w:p>
            <w:pPr>
              <w:pStyle w:val="TableParagraph"/>
              <w:spacing w:before="16"/>
              <w:ind w:left="45" w:right="41"/>
              <w:jc w:val="center"/>
              <w:rPr>
                <w:rFonts w:ascii="Calibri"/>
                <w:sz w:val="16"/>
              </w:rPr>
            </w:pPr>
            <w:r>
              <w:rPr>
                <w:rFonts w:ascii="Calibri"/>
                <w:sz w:val="16"/>
              </w:rPr>
              <w:t>54%</w:t>
            </w:r>
          </w:p>
        </w:tc>
        <w:tc>
          <w:tcPr>
            <w:tcW w:w="451" w:type="dxa"/>
          </w:tcPr>
          <w:p>
            <w:pPr>
              <w:pStyle w:val="TableParagraph"/>
              <w:spacing w:before="16"/>
              <w:ind w:left="41" w:right="35"/>
              <w:jc w:val="center"/>
              <w:rPr>
                <w:rFonts w:ascii="Calibri"/>
                <w:sz w:val="16"/>
              </w:rPr>
            </w:pPr>
            <w:r>
              <w:rPr>
                <w:rFonts w:ascii="Calibri"/>
                <w:sz w:val="16"/>
              </w:rPr>
              <w:t>56%</w:t>
            </w:r>
          </w:p>
        </w:tc>
        <w:tc>
          <w:tcPr>
            <w:tcW w:w="451" w:type="dxa"/>
          </w:tcPr>
          <w:p>
            <w:pPr>
              <w:pStyle w:val="TableParagraph"/>
              <w:spacing w:before="16"/>
              <w:ind w:left="81"/>
              <w:rPr>
                <w:rFonts w:ascii="Calibri"/>
                <w:sz w:val="16"/>
              </w:rPr>
            </w:pPr>
            <w:r>
              <w:rPr>
                <w:rFonts w:ascii="Calibri"/>
                <w:sz w:val="16"/>
              </w:rPr>
              <w:t>57%</w:t>
            </w:r>
          </w:p>
        </w:tc>
        <w:tc>
          <w:tcPr>
            <w:tcW w:w="449" w:type="dxa"/>
          </w:tcPr>
          <w:p>
            <w:pPr>
              <w:pStyle w:val="TableParagraph"/>
              <w:spacing w:before="16"/>
              <w:ind w:left="80"/>
              <w:rPr>
                <w:rFonts w:ascii="Calibri"/>
                <w:sz w:val="16"/>
              </w:rPr>
            </w:pPr>
            <w:r>
              <w:rPr>
                <w:rFonts w:ascii="Calibri"/>
                <w:sz w:val="16"/>
              </w:rPr>
              <w:t>68%</w:t>
            </w:r>
          </w:p>
        </w:tc>
        <w:tc>
          <w:tcPr>
            <w:tcW w:w="451" w:type="dxa"/>
            <w:tcBorders>
              <w:right w:val="nil"/>
            </w:tcBorders>
          </w:tcPr>
          <w:p>
            <w:pPr>
              <w:pStyle w:val="TableParagraph"/>
              <w:spacing w:before="16"/>
              <w:ind w:left="82"/>
              <w:rPr>
                <w:rFonts w:ascii="Calibri"/>
                <w:sz w:val="16"/>
              </w:rPr>
            </w:pPr>
            <w:r>
              <w:rPr>
                <w:rFonts w:ascii="Calibri"/>
                <w:sz w:val="16"/>
              </w:rPr>
              <w:t>83%</w:t>
            </w:r>
          </w:p>
        </w:tc>
      </w:tr>
      <w:tr>
        <w:trPr>
          <w:trHeight w:val="246" w:hRule="atLeast"/>
        </w:trPr>
        <w:tc>
          <w:tcPr>
            <w:tcW w:w="415" w:type="dxa"/>
            <w:tcBorders>
              <w:left w:val="nil"/>
              <w:right w:val="nil"/>
            </w:tcBorders>
          </w:tcPr>
          <w:p>
            <w:pPr>
              <w:pStyle w:val="TableParagraph"/>
              <w:spacing w:before="11"/>
              <w:ind w:right="50"/>
              <w:jc w:val="right"/>
              <w:rPr>
                <w:rFonts w:ascii="Calibri"/>
                <w:sz w:val="16"/>
              </w:rPr>
            </w:pPr>
            <w:r>
              <w:rPr>
                <w:rFonts w:ascii="Calibri"/>
                <w:sz w:val="16"/>
              </w:rPr>
              <w:t>2018</w:t>
            </w:r>
          </w:p>
        </w:tc>
        <w:tc>
          <w:tcPr>
            <w:tcW w:w="451" w:type="dxa"/>
            <w:tcBorders>
              <w:left w:val="nil"/>
            </w:tcBorders>
          </w:tcPr>
          <w:p>
            <w:pPr>
              <w:pStyle w:val="TableParagraph"/>
              <w:spacing w:before="15"/>
              <w:ind w:left="87"/>
              <w:rPr>
                <w:rFonts w:ascii="Calibri"/>
                <w:sz w:val="16"/>
              </w:rPr>
            </w:pPr>
            <w:r>
              <w:rPr>
                <w:rFonts w:ascii="Calibri"/>
                <w:sz w:val="16"/>
              </w:rPr>
              <w:t>29%</w:t>
            </w:r>
          </w:p>
        </w:tc>
        <w:tc>
          <w:tcPr>
            <w:tcW w:w="449" w:type="dxa"/>
          </w:tcPr>
          <w:p>
            <w:pPr>
              <w:pStyle w:val="TableParagraph"/>
              <w:spacing w:before="15"/>
              <w:ind w:left="44" w:right="41"/>
              <w:jc w:val="center"/>
              <w:rPr>
                <w:rFonts w:ascii="Calibri"/>
                <w:sz w:val="16"/>
              </w:rPr>
            </w:pPr>
            <w:r>
              <w:rPr>
                <w:rFonts w:ascii="Calibri"/>
                <w:sz w:val="16"/>
              </w:rPr>
              <w:t>31%</w:t>
            </w:r>
          </w:p>
        </w:tc>
        <w:tc>
          <w:tcPr>
            <w:tcW w:w="451" w:type="dxa"/>
          </w:tcPr>
          <w:p>
            <w:pPr>
              <w:pStyle w:val="TableParagraph"/>
              <w:spacing w:before="15"/>
              <w:ind w:left="41" w:right="37"/>
              <w:jc w:val="center"/>
              <w:rPr>
                <w:rFonts w:ascii="Calibri"/>
                <w:sz w:val="16"/>
              </w:rPr>
            </w:pPr>
            <w:r>
              <w:rPr>
                <w:rFonts w:ascii="Calibri"/>
                <w:sz w:val="16"/>
              </w:rPr>
              <w:t>32%</w:t>
            </w:r>
          </w:p>
        </w:tc>
        <w:tc>
          <w:tcPr>
            <w:tcW w:w="451" w:type="dxa"/>
          </w:tcPr>
          <w:p>
            <w:pPr>
              <w:pStyle w:val="TableParagraph"/>
              <w:spacing w:before="15"/>
              <w:ind w:left="80"/>
              <w:rPr>
                <w:rFonts w:ascii="Calibri"/>
                <w:sz w:val="16"/>
              </w:rPr>
            </w:pPr>
            <w:r>
              <w:rPr>
                <w:rFonts w:ascii="Calibri"/>
                <w:sz w:val="16"/>
              </w:rPr>
              <w:t>36%</w:t>
            </w:r>
          </w:p>
        </w:tc>
        <w:tc>
          <w:tcPr>
            <w:tcW w:w="449" w:type="dxa"/>
          </w:tcPr>
          <w:p>
            <w:pPr>
              <w:pStyle w:val="TableParagraph"/>
              <w:spacing w:before="15"/>
              <w:ind w:left="45" w:right="41"/>
              <w:jc w:val="center"/>
              <w:rPr>
                <w:rFonts w:ascii="Calibri"/>
                <w:sz w:val="16"/>
              </w:rPr>
            </w:pPr>
            <w:r>
              <w:rPr>
                <w:rFonts w:ascii="Calibri"/>
                <w:sz w:val="16"/>
              </w:rPr>
              <w:t>37%</w:t>
            </w:r>
          </w:p>
        </w:tc>
        <w:tc>
          <w:tcPr>
            <w:tcW w:w="451" w:type="dxa"/>
          </w:tcPr>
          <w:p>
            <w:pPr>
              <w:pStyle w:val="TableParagraph"/>
              <w:spacing w:before="15"/>
              <w:ind w:left="41" w:right="36"/>
              <w:jc w:val="center"/>
              <w:rPr>
                <w:rFonts w:ascii="Calibri"/>
                <w:sz w:val="16"/>
              </w:rPr>
            </w:pPr>
            <w:r>
              <w:rPr>
                <w:rFonts w:ascii="Calibri"/>
                <w:sz w:val="16"/>
              </w:rPr>
              <w:t>41%</w:t>
            </w:r>
          </w:p>
        </w:tc>
        <w:tc>
          <w:tcPr>
            <w:tcW w:w="451" w:type="dxa"/>
          </w:tcPr>
          <w:p>
            <w:pPr>
              <w:pStyle w:val="TableParagraph"/>
              <w:spacing w:before="15"/>
              <w:ind w:left="80"/>
              <w:rPr>
                <w:rFonts w:ascii="Calibri"/>
                <w:sz w:val="16"/>
              </w:rPr>
            </w:pPr>
            <w:r>
              <w:rPr>
                <w:rFonts w:ascii="Calibri"/>
                <w:sz w:val="16"/>
              </w:rPr>
              <w:t>44%</w:t>
            </w:r>
          </w:p>
        </w:tc>
        <w:tc>
          <w:tcPr>
            <w:tcW w:w="449" w:type="dxa"/>
          </w:tcPr>
          <w:p>
            <w:pPr>
              <w:pStyle w:val="TableParagraph"/>
              <w:spacing w:before="15"/>
              <w:ind w:left="45" w:right="41"/>
              <w:jc w:val="center"/>
              <w:rPr>
                <w:rFonts w:ascii="Calibri"/>
                <w:sz w:val="16"/>
              </w:rPr>
            </w:pPr>
            <w:r>
              <w:rPr>
                <w:rFonts w:ascii="Calibri"/>
                <w:sz w:val="16"/>
              </w:rPr>
              <w:t>57%</w:t>
            </w:r>
          </w:p>
        </w:tc>
        <w:tc>
          <w:tcPr>
            <w:tcW w:w="451" w:type="dxa"/>
          </w:tcPr>
          <w:p>
            <w:pPr>
              <w:pStyle w:val="TableParagraph"/>
              <w:spacing w:before="15"/>
              <w:ind w:left="41" w:right="35"/>
              <w:jc w:val="center"/>
              <w:rPr>
                <w:rFonts w:ascii="Calibri"/>
                <w:sz w:val="16"/>
              </w:rPr>
            </w:pPr>
            <w:r>
              <w:rPr>
                <w:rFonts w:ascii="Calibri"/>
                <w:sz w:val="16"/>
              </w:rPr>
              <w:t>56%</w:t>
            </w:r>
          </w:p>
        </w:tc>
        <w:tc>
          <w:tcPr>
            <w:tcW w:w="451" w:type="dxa"/>
          </w:tcPr>
          <w:p>
            <w:pPr>
              <w:pStyle w:val="TableParagraph"/>
              <w:spacing w:before="15"/>
              <w:ind w:left="81"/>
              <w:rPr>
                <w:rFonts w:ascii="Calibri"/>
                <w:sz w:val="16"/>
              </w:rPr>
            </w:pPr>
            <w:r>
              <w:rPr>
                <w:rFonts w:ascii="Calibri"/>
                <w:sz w:val="16"/>
              </w:rPr>
              <w:t>63%</w:t>
            </w:r>
          </w:p>
        </w:tc>
        <w:tc>
          <w:tcPr>
            <w:tcW w:w="449" w:type="dxa"/>
          </w:tcPr>
          <w:p>
            <w:pPr>
              <w:pStyle w:val="TableParagraph"/>
              <w:spacing w:before="15"/>
              <w:ind w:left="80"/>
              <w:rPr>
                <w:rFonts w:ascii="Calibri"/>
                <w:sz w:val="16"/>
              </w:rPr>
            </w:pPr>
            <w:r>
              <w:rPr>
                <w:rFonts w:ascii="Calibri"/>
                <w:sz w:val="16"/>
              </w:rPr>
              <w:t>80%</w:t>
            </w:r>
          </w:p>
        </w:tc>
        <w:tc>
          <w:tcPr>
            <w:tcW w:w="451" w:type="dxa"/>
            <w:tcBorders>
              <w:right w:val="nil"/>
            </w:tcBorders>
          </w:tcPr>
          <w:p>
            <w:pPr>
              <w:pStyle w:val="TableParagraph"/>
              <w:spacing w:before="15"/>
              <w:ind w:left="82"/>
              <w:rPr>
                <w:rFonts w:ascii="Calibri"/>
                <w:sz w:val="16"/>
              </w:rPr>
            </w:pPr>
            <w:r>
              <w:rPr>
                <w:rFonts w:ascii="Calibri"/>
                <w:sz w:val="16"/>
              </w:rPr>
              <w:t>89%</w:t>
            </w:r>
          </w:p>
        </w:tc>
      </w:tr>
      <w:tr>
        <w:trPr>
          <w:trHeight w:val="256" w:hRule="atLeast"/>
        </w:trPr>
        <w:tc>
          <w:tcPr>
            <w:tcW w:w="415" w:type="dxa"/>
            <w:tcBorders>
              <w:left w:val="nil"/>
              <w:bottom w:val="nil"/>
              <w:right w:val="nil"/>
            </w:tcBorders>
          </w:tcPr>
          <w:p>
            <w:pPr>
              <w:pStyle w:val="TableParagraph"/>
              <w:spacing w:before="12"/>
              <w:ind w:right="50"/>
              <w:jc w:val="right"/>
              <w:rPr>
                <w:rFonts w:ascii="Calibri"/>
                <w:sz w:val="16"/>
              </w:rPr>
            </w:pPr>
            <w:r>
              <w:rPr>
                <w:rFonts w:ascii="Calibri"/>
                <w:sz w:val="16"/>
              </w:rPr>
              <w:t>2019</w:t>
            </w:r>
          </w:p>
        </w:tc>
        <w:tc>
          <w:tcPr>
            <w:tcW w:w="451" w:type="dxa"/>
            <w:tcBorders>
              <w:left w:val="nil"/>
              <w:bottom w:val="nil"/>
            </w:tcBorders>
          </w:tcPr>
          <w:p>
            <w:pPr>
              <w:pStyle w:val="TableParagraph"/>
              <w:spacing w:before="17"/>
              <w:ind w:left="128"/>
              <w:rPr>
                <w:rFonts w:ascii="Calibri"/>
                <w:sz w:val="16"/>
              </w:rPr>
            </w:pPr>
            <w:r>
              <w:rPr>
                <w:rFonts w:ascii="Calibri"/>
                <w:sz w:val="16"/>
              </w:rPr>
              <w:t>4%</w:t>
            </w:r>
          </w:p>
        </w:tc>
        <w:tc>
          <w:tcPr>
            <w:tcW w:w="449" w:type="dxa"/>
            <w:tcBorders>
              <w:bottom w:val="nil"/>
            </w:tcBorders>
          </w:tcPr>
          <w:p>
            <w:pPr>
              <w:pStyle w:val="TableParagraph"/>
              <w:spacing w:before="17"/>
              <w:ind w:left="44" w:right="41"/>
              <w:jc w:val="center"/>
              <w:rPr>
                <w:rFonts w:ascii="Calibri"/>
                <w:sz w:val="16"/>
              </w:rPr>
            </w:pPr>
            <w:r>
              <w:rPr>
                <w:rFonts w:ascii="Calibri"/>
                <w:sz w:val="16"/>
              </w:rPr>
              <w:t>10%</w:t>
            </w:r>
          </w:p>
        </w:tc>
        <w:tc>
          <w:tcPr>
            <w:tcW w:w="451" w:type="dxa"/>
            <w:tcBorders>
              <w:bottom w:val="nil"/>
            </w:tcBorders>
          </w:tcPr>
          <w:p>
            <w:pPr>
              <w:pStyle w:val="TableParagraph"/>
              <w:spacing w:before="17"/>
              <w:ind w:left="41" w:right="37"/>
              <w:jc w:val="center"/>
              <w:rPr>
                <w:rFonts w:ascii="Calibri"/>
                <w:sz w:val="16"/>
              </w:rPr>
            </w:pPr>
            <w:r>
              <w:rPr>
                <w:rFonts w:ascii="Calibri"/>
                <w:sz w:val="16"/>
              </w:rPr>
              <w:t>15%</w:t>
            </w:r>
          </w:p>
        </w:tc>
        <w:tc>
          <w:tcPr>
            <w:tcW w:w="451" w:type="dxa"/>
            <w:tcBorders>
              <w:bottom w:val="nil"/>
            </w:tcBorders>
          </w:tcPr>
          <w:p>
            <w:pPr>
              <w:pStyle w:val="TableParagraph"/>
              <w:spacing w:before="17"/>
              <w:ind w:left="80"/>
              <w:rPr>
                <w:rFonts w:ascii="Calibri"/>
                <w:sz w:val="16"/>
              </w:rPr>
            </w:pPr>
            <w:r>
              <w:rPr>
                <w:rFonts w:ascii="Calibri"/>
                <w:sz w:val="16"/>
              </w:rPr>
              <w:t>27%</w:t>
            </w:r>
          </w:p>
        </w:tc>
        <w:tc>
          <w:tcPr>
            <w:tcW w:w="449" w:type="dxa"/>
            <w:tcBorders>
              <w:bottom w:val="nil"/>
            </w:tcBorders>
          </w:tcPr>
          <w:p>
            <w:pPr>
              <w:pStyle w:val="TableParagraph"/>
              <w:spacing w:before="17"/>
              <w:ind w:left="45" w:right="41"/>
              <w:jc w:val="center"/>
              <w:rPr>
                <w:rFonts w:ascii="Calibri"/>
                <w:sz w:val="16"/>
              </w:rPr>
            </w:pPr>
            <w:r>
              <w:rPr>
                <w:rFonts w:ascii="Calibri"/>
                <w:sz w:val="16"/>
              </w:rPr>
              <w:t>36%</w:t>
            </w:r>
          </w:p>
        </w:tc>
        <w:tc>
          <w:tcPr>
            <w:tcW w:w="451" w:type="dxa"/>
            <w:tcBorders>
              <w:bottom w:val="nil"/>
            </w:tcBorders>
          </w:tcPr>
          <w:p>
            <w:pPr>
              <w:pStyle w:val="TableParagraph"/>
              <w:spacing w:before="17"/>
              <w:ind w:left="41" w:right="36"/>
              <w:jc w:val="center"/>
              <w:rPr>
                <w:rFonts w:ascii="Calibri"/>
                <w:sz w:val="16"/>
              </w:rPr>
            </w:pPr>
            <w:r>
              <w:rPr>
                <w:rFonts w:ascii="Calibri"/>
                <w:sz w:val="16"/>
              </w:rPr>
              <w:t>44%</w:t>
            </w:r>
          </w:p>
        </w:tc>
        <w:tc>
          <w:tcPr>
            <w:tcW w:w="451" w:type="dxa"/>
            <w:tcBorders>
              <w:bottom w:val="nil"/>
            </w:tcBorders>
          </w:tcPr>
          <w:p>
            <w:pPr>
              <w:pStyle w:val="TableParagraph"/>
              <w:spacing w:before="17"/>
              <w:ind w:left="80"/>
              <w:rPr>
                <w:rFonts w:ascii="Calibri"/>
                <w:sz w:val="16"/>
              </w:rPr>
            </w:pPr>
            <w:r>
              <w:rPr>
                <w:rFonts w:ascii="Calibri"/>
                <w:sz w:val="16"/>
              </w:rPr>
              <w:t>55%</w:t>
            </w:r>
          </w:p>
        </w:tc>
        <w:tc>
          <w:tcPr>
            <w:tcW w:w="449" w:type="dxa"/>
            <w:tcBorders>
              <w:bottom w:val="nil"/>
            </w:tcBorders>
          </w:tcPr>
          <w:p>
            <w:pPr>
              <w:pStyle w:val="TableParagraph"/>
              <w:rPr>
                <w:rFonts w:ascii="Times New Roman"/>
                <w:sz w:val="18"/>
              </w:rPr>
            </w:pPr>
          </w:p>
        </w:tc>
        <w:tc>
          <w:tcPr>
            <w:tcW w:w="451" w:type="dxa"/>
            <w:tcBorders>
              <w:bottom w:val="nil"/>
            </w:tcBorders>
          </w:tcPr>
          <w:p>
            <w:pPr>
              <w:pStyle w:val="TableParagraph"/>
              <w:rPr>
                <w:rFonts w:ascii="Times New Roman"/>
                <w:sz w:val="18"/>
              </w:rPr>
            </w:pPr>
          </w:p>
        </w:tc>
        <w:tc>
          <w:tcPr>
            <w:tcW w:w="451" w:type="dxa"/>
            <w:tcBorders>
              <w:bottom w:val="nil"/>
            </w:tcBorders>
          </w:tcPr>
          <w:p>
            <w:pPr>
              <w:pStyle w:val="TableParagraph"/>
              <w:rPr>
                <w:rFonts w:ascii="Times New Roman"/>
                <w:sz w:val="18"/>
              </w:rPr>
            </w:pPr>
          </w:p>
        </w:tc>
        <w:tc>
          <w:tcPr>
            <w:tcW w:w="449" w:type="dxa"/>
            <w:tcBorders>
              <w:bottom w:val="nil"/>
            </w:tcBorders>
          </w:tcPr>
          <w:p>
            <w:pPr>
              <w:pStyle w:val="TableParagraph"/>
              <w:rPr>
                <w:rFonts w:ascii="Times New Roman"/>
                <w:sz w:val="18"/>
              </w:rPr>
            </w:pPr>
          </w:p>
        </w:tc>
        <w:tc>
          <w:tcPr>
            <w:tcW w:w="451" w:type="dxa"/>
            <w:tcBorders>
              <w:bottom w:val="nil"/>
              <w:right w:val="nil"/>
            </w:tcBorders>
          </w:tcPr>
          <w:p>
            <w:pPr>
              <w:pStyle w:val="TableParagraph"/>
              <w:rPr>
                <w:rFonts w:ascii="Times New Roman"/>
                <w:sz w:val="18"/>
              </w:rPr>
            </w:pPr>
          </w:p>
        </w:tc>
      </w:tr>
    </w:tbl>
    <w:p>
      <w:pPr>
        <w:pStyle w:val="BodyText"/>
        <w:rPr>
          <w:sz w:val="20"/>
        </w:rPr>
      </w:pPr>
    </w:p>
    <w:p>
      <w:pPr>
        <w:pStyle w:val="BodyText"/>
        <w:rPr>
          <w:sz w:val="20"/>
        </w:rPr>
      </w:pPr>
    </w:p>
    <w:p>
      <w:pPr>
        <w:pStyle w:val="BodyText"/>
        <w:rPr>
          <w:sz w:val="23"/>
        </w:rPr>
      </w:pPr>
    </w:p>
    <w:p>
      <w:pPr>
        <w:pStyle w:val="BodyText"/>
        <w:spacing w:before="93"/>
        <w:ind w:left="232" w:right="1228"/>
      </w:pPr>
      <w:r>
        <w:rPr/>
        <w:pict>
          <v:group style="position:absolute;margin-left:114.095001pt;margin-top:-237.399139pt;width:373.8pt;height:228.5pt;mso-position-horizontal-relative:page;mso-position-vertical-relative:paragraph;z-index:-252624896" coordorigin="2282,-4748" coordsize="7476,4570">
            <v:shape style="position:absolute;left:2287;top:-4740;width:7471;height:4561" coordorigin="2288,-4740" coordsize="7471,4561" path="m2290,-4740l2288,-4740,2288,-179,2290,-179,2290,-4740m9758,-4740l9727,-4740,9727,-179,9758,-179,9758,-4740e" filled="true" fillcolor="#b1a0c6" stroked="false">
              <v:path arrowok="t"/>
              <v:fill type="solid"/>
            </v:shape>
            <v:shape style="position:absolute;left:3057;top:-2223;width:5405;height:2" coordorigin="3058,-2222" coordsize="5405,0" path="m3801,-2222l8462,-2222m3058,-2222l3662,-2222e" filled="false" stroked="true" strokeweight=".72pt" strokecolor="#858585">
              <v:path arrowok="t"/>
              <v:stroke dashstyle="solid"/>
            </v:shape>
            <v:line style="position:absolute" from="3058,-2407" to="8462,-2407" stroked="true" strokeweight=".72pt" strokecolor="#858585">
              <v:stroke dashstyle="solid"/>
            </v:line>
            <v:shape style="position:absolute;left:3057;top:-2782;width:5405;height:188" coordorigin="3058,-2781" coordsize="5405,188" path="m4701,-2594l8462,-2594m4253,-2594l4562,-2594m3801,-2594l4113,-2594m3350,-2594l3662,-2594m3058,-2594l3211,-2594m5604,-2781l8462,-2781m3058,-2781l5465,-2781e" filled="false" stroked="true" strokeweight=".72pt" strokecolor="#858585">
              <v:path arrowok="t"/>
              <v:stroke dashstyle="solid"/>
            </v:shape>
            <v:line style="position:absolute" from="3058,-2968" to="8462,-2968" stroked="true" strokeweight=".72pt" strokecolor="#858585">
              <v:stroke dashstyle="solid"/>
            </v:line>
            <v:shape style="position:absolute;left:3057;top:-3154;width:5405;height:2" coordorigin="3058,-3153" coordsize="5405,0" path="m7404,-3153l8462,-3153m6504,-3153l7265,-3153m3058,-3153l6365,-3153e" filled="false" stroked="true" strokeweight=".72pt" strokecolor="#858585">
              <v:path arrowok="t"/>
              <v:stroke dashstyle="solid"/>
            </v:shape>
            <v:shape style="position:absolute;left:2642;top:-3341;width:5820;height:2616" coordorigin="2642,-3340" coordsize="5820,2616" path="m3058,-3340l8462,-3340m3058,-2035l8462,-2035m3058,-2035l8462,-2035m3058,-2035l3058,-1776m8462,-2035l8462,-1776m3058,-1776l3058,-1514m8462,-1776l8462,-1514m3058,-1514l3058,-1250m8462,-1514l8462,-1250m3058,-1250l3058,-988m8462,-1250l8462,-988m2642,-1776l2642,-1514m2642,-1514l2642,-1250m2642,-1250l2642,-988m2642,-988l2642,-724,8462,-724m3058,-988l3058,-724m8462,-988l8462,-724e" filled="false" stroked="true" strokeweight=".72pt" strokecolor="#858585">
              <v:path arrowok="t"/>
              <v:stroke dashstyle="solid"/>
            </v:shape>
            <v:shape style="position:absolute;left:3283;top:-3329;width:4954;height:1294" coordorigin="3283,-3328" coordsize="4954,1294" path="m3283,-2035l3734,-2073,4183,-2126,4634,-2145,5086,-2301,5534,-2395,5986,-2820,6434,-2820,6886,-2851,7337,-2911,7786,-3141,8237,-3328e" filled="false" stroked="true" strokeweight="2.16pt" strokecolor="#497dba">
              <v:path arrowok="t"/>
              <v:stroke dashstyle="solid"/>
            </v:shape>
            <v:shape style="position:absolute;left:3203;top:-2114;width:155;height:155" type="#_x0000_t75" stroked="false">
              <v:imagedata r:id="rId6" o:title=""/>
            </v:shape>
            <v:shape style="position:absolute;left:3654;top:-2152;width:155;height:155" type="#_x0000_t75" stroked="false">
              <v:imagedata r:id="rId6" o:title=""/>
            </v:shape>
            <v:shape style="position:absolute;left:4105;top:-2205;width:155;height:155" type="#_x0000_t75" stroked="false">
              <v:imagedata r:id="rId6" o:title=""/>
            </v:shape>
            <v:shape style="position:absolute;left:4554;top:-2224;width:155;height:155" type="#_x0000_t75" stroked="false">
              <v:imagedata r:id="rId7" o:title=""/>
            </v:shape>
            <v:shape style="position:absolute;left:5005;top:-2382;width:155;height:155" type="#_x0000_t75" stroked="false">
              <v:imagedata r:id="rId6" o:title=""/>
            </v:shape>
            <v:shape style="position:absolute;left:5456;top:-2474;width:155;height:155" type="#_x0000_t75" stroked="false">
              <v:imagedata r:id="rId8" o:title=""/>
            </v:shape>
            <v:shape style="position:absolute;left:5905;top:-2901;width:155;height:155" type="#_x0000_t75" stroked="false">
              <v:imagedata r:id="rId6" o:title=""/>
            </v:shape>
            <v:shape style="position:absolute;left:6356;top:-2901;width:155;height:155" type="#_x0000_t75" stroked="false">
              <v:imagedata r:id="rId8" o:title=""/>
            </v:shape>
            <v:shape style="position:absolute;left:6807;top:-2930;width:155;height:155" type="#_x0000_t75" stroked="false">
              <v:imagedata r:id="rId8" o:title=""/>
            </v:shape>
            <v:shape style="position:absolute;left:7256;top:-2992;width:155;height:155" type="#_x0000_t75" stroked="false">
              <v:imagedata r:id="rId8" o:title=""/>
            </v:shape>
            <v:shape style="position:absolute;left:7707;top:-3222;width:155;height:155" type="#_x0000_t75" stroked="false">
              <v:imagedata r:id="rId8" o:title=""/>
            </v:shape>
            <v:shape style="position:absolute;left:8159;top:-3407;width:155;height:155" type="#_x0000_t75" stroked="false">
              <v:imagedata r:id="rId9" o:title=""/>
            </v:shape>
            <v:shape style="position:absolute;left:3057;top:-3528;width:5405;height:2" coordorigin="3058,-3528" coordsize="5405,0" path="m7855,-3528l8462,-3528m3058,-3528l7716,-3528e" filled="false" stroked="true" strokeweight=".72pt" strokecolor="#858585">
              <v:path arrowok="t"/>
              <v:stroke dashstyle="solid"/>
            </v:shape>
            <v:shape style="position:absolute;left:3283;top:-3591;width:4954;height:1529" coordorigin="3283,-3590" coordsize="4954,1529" path="m3283,-2061l3734,-2234,4183,-2484,4634,-2565,5086,-2618,5534,-2839,5986,-2990,6434,-3040,6886,-3079,7337,-3103,7786,-3309,8237,-3590e" filled="false" stroked="true" strokeweight="2.16pt" strokecolor="#00af50">
              <v:path arrowok="t"/>
              <v:stroke dashstyle="solid"/>
            </v:shape>
            <v:shape style="position:absolute;left:3203;top:-2140;width:155;height:155" type="#_x0000_t75" stroked="false">
              <v:imagedata r:id="rId10" o:title=""/>
            </v:shape>
            <v:shape style="position:absolute;left:3654;top:-2313;width:155;height:155" type="#_x0000_t75" stroked="false">
              <v:imagedata r:id="rId10" o:title=""/>
            </v:shape>
            <v:shape style="position:absolute;left:4105;top:-2562;width:155;height:155" type="#_x0000_t75" stroked="false">
              <v:imagedata r:id="rId11" o:title=""/>
            </v:shape>
            <v:shape style="position:absolute;left:4554;top:-2646;width:155;height:155" type="#_x0000_t75" stroked="false">
              <v:imagedata r:id="rId11" o:title=""/>
            </v:shape>
            <v:shape style="position:absolute;left:5005;top:-2697;width:155;height:155" type="#_x0000_t75" stroked="false">
              <v:imagedata r:id="rId11" o:title=""/>
            </v:shape>
            <v:shape style="position:absolute;left:5456;top:-2918;width:155;height:155" type="#_x0000_t75" stroked="false">
              <v:imagedata r:id="rId12" o:title=""/>
            </v:shape>
            <v:shape style="position:absolute;left:5905;top:-3071;width:155;height:155" type="#_x0000_t75" stroked="false">
              <v:imagedata r:id="rId10" o:title=""/>
            </v:shape>
            <v:shape style="position:absolute;left:6356;top:-3122;width:155;height:155" type="#_x0000_t75" stroked="false">
              <v:imagedata r:id="rId13" o:title=""/>
            </v:shape>
            <v:shape style="position:absolute;left:6807;top:-3158;width:155;height:155" type="#_x0000_t75" stroked="false">
              <v:imagedata r:id="rId12" o:title=""/>
            </v:shape>
            <v:shape style="position:absolute;left:7256;top:-3182;width:155;height:155" type="#_x0000_t75" stroked="false">
              <v:imagedata r:id="rId13" o:title=""/>
            </v:shape>
            <v:shape style="position:absolute;left:7707;top:-3388;width:155;height:155" type="#_x0000_t75" stroked="false">
              <v:imagedata r:id="rId12" o:title=""/>
            </v:shape>
            <v:shape style="position:absolute;left:3057;top:-3713;width:5405;height:2" coordorigin="3058,-3712" coordsize="5405,0" path="m8306,-3712l8462,-3712m3058,-3712l8167,-3712e" filled="false" stroked="true" strokeweight=".72pt" strokecolor="#858585">
              <v:path arrowok="t"/>
              <v:stroke dashstyle="solid"/>
            </v:shape>
            <v:shape style="position:absolute;left:8159;top:-3669;width:155;height:155" type="#_x0000_t75" stroked="false">
              <v:imagedata r:id="rId13" o:title=""/>
            </v:shape>
            <v:shape style="position:absolute;left:3283;top:-3701;width:4954;height:1116" coordorigin="3283,-3700" coordsize="4954,1116" path="m3283,-2584l3734,-2613,4183,-2625,4634,-2700,5086,-2716,5534,-2796,5986,-2858,6434,-3100,6886,-3079,7337,-3208,7786,-3523,8237,-3700e" filled="false" stroked="true" strokeweight="2.16pt" strokecolor="#bd4a47">
              <v:path arrowok="t"/>
              <v:stroke dashstyle="solid"/>
            </v:shape>
            <v:rect style="position:absolute;left:3211;top:-2655;width:140;height:140" filled="true" fillcolor="#c0504d" stroked="false">
              <v:fill type="solid"/>
            </v:rect>
            <v:rect style="position:absolute;left:3211;top:-2655;width:140;height:140" filled="false" stroked="true" strokeweight=".75pt" strokecolor="#bd4a47">
              <v:stroke dashstyle="solid"/>
            </v:rect>
            <v:rect style="position:absolute;left:3662;top:-2684;width:140;height:140" filled="true" fillcolor="#c0504d" stroked="false">
              <v:fill type="solid"/>
            </v:rect>
            <v:rect style="position:absolute;left:3662;top:-2684;width:140;height:140" filled="false" stroked="true" strokeweight=".75pt" strokecolor="#bd4a47">
              <v:stroke dashstyle="solid"/>
            </v:rect>
            <v:rect style="position:absolute;left:4113;top:-2699;width:140;height:140" filled="true" fillcolor="#c0504d" stroked="false">
              <v:fill type="solid"/>
            </v:rect>
            <v:rect style="position:absolute;left:4113;top:-2699;width:140;height:140" filled="false" stroked="true" strokeweight=".75pt" strokecolor="#bd4a47">
              <v:stroke dashstyle="solid"/>
            </v:rect>
            <v:rect style="position:absolute;left:4562;top:-2771;width:140;height:140" filled="true" fillcolor="#c0504d" stroked="false">
              <v:fill type="solid"/>
            </v:rect>
            <v:rect style="position:absolute;left:4562;top:-2771;width:140;height:140" filled="false" stroked="true" strokeweight=".75pt" strokecolor="#bd4a47">
              <v:stroke dashstyle="solid"/>
            </v:rect>
            <v:rect style="position:absolute;left:5013;top:-2787;width:140;height:7" filled="true" fillcolor="#c0504d" stroked="false">
              <v:fill type="solid"/>
            </v:rect>
            <v:rect style="position:absolute;left:5013;top:-2787;width:140;height:140" filled="false" stroked="true" strokeweight=".75pt" strokecolor="#bd4a47">
              <v:stroke dashstyle="solid"/>
            </v:rect>
            <v:rect style="position:absolute;left:5464;top:-2797;width:140;height:70" filled="true" fillcolor="#c0504d" stroked="false">
              <v:fill type="solid"/>
            </v:rect>
            <v:rect style="position:absolute;left:5464;top:-2867;width:140;height:140" filled="false" stroked="true" strokeweight=".75pt" strokecolor="#bd4a47">
              <v:stroke dashstyle="solid"/>
            </v:rect>
            <v:rect style="position:absolute;left:5913;top:-2931;width:140;height:140" filled="true" fillcolor="#c0504d" stroked="false">
              <v:fill type="solid"/>
            </v:rect>
            <v:rect style="position:absolute;left:5913;top:-2931;width:140;height:140" filled="false" stroked="true" strokeweight=".75pt" strokecolor="#bd4a47">
              <v:stroke dashstyle="solid"/>
            </v:rect>
            <v:rect style="position:absolute;left:6364;top:-3174;width:140;height:140" filled="true" fillcolor="#c0504d" stroked="false">
              <v:fill type="solid"/>
            </v:rect>
            <v:rect style="position:absolute;left:6364;top:-3174;width:140;height:140" filled="false" stroked="true" strokeweight=".75pt" strokecolor="#bd4a47">
              <v:stroke dashstyle="solid"/>
            </v:rect>
            <v:rect style="position:absolute;left:6815;top:-3152;width:140;height:140" filled="true" fillcolor="#c0504d" stroked="false">
              <v:fill type="solid"/>
            </v:rect>
            <v:rect style="position:absolute;left:6815;top:-3152;width:140;height:140" filled="false" stroked="true" strokeweight=".75pt" strokecolor="#bd4a47">
              <v:stroke dashstyle="solid"/>
            </v:rect>
            <v:rect style="position:absolute;left:7264;top:-3279;width:140;height:140" filled="true" fillcolor="#c0504d" stroked="false">
              <v:fill type="solid"/>
            </v:rect>
            <v:rect style="position:absolute;left:7264;top:-3279;width:140;height:140" filled="false" stroked="true" strokeweight=".75pt" strokecolor="#bd4a47">
              <v:stroke dashstyle="solid"/>
            </v:rect>
            <v:rect style="position:absolute;left:7715;top:-3594;width:140;height:140" filled="true" fillcolor="#c0504d" stroked="false">
              <v:fill type="solid"/>
            </v:rect>
            <v:rect style="position:absolute;left:7715;top:-3594;width:140;height:140" filled="false" stroked="true" strokeweight=".75pt" strokecolor="#bd4a47">
              <v:stroke dashstyle="solid"/>
            </v:rect>
            <v:rect style="position:absolute;left:8167;top:-3774;width:140;height:140" filled="true" fillcolor="#c0504d" stroked="false">
              <v:fill type="solid"/>
            </v:rect>
            <v:rect style="position:absolute;left:8167;top:-3774;width:140;height:140" filled="false" stroked="true" strokeweight=".75pt" strokecolor="#bd4a47">
              <v:stroke dashstyle="solid"/>
            </v:rect>
            <v:shape style="position:absolute;left:3283;top:-3065;width:2703;height:965" coordorigin="3283,-3064" coordsize="2703,965" path="m3283,-2100l3734,-2217,4183,-2313,4634,-2546,5086,-2709,5534,-2865,5986,-3064e" filled="false" stroked="true" strokeweight="2.16pt" strokecolor="#7c5f9f">
              <v:path arrowok="t"/>
              <v:stroke dashstyle="solid"/>
            </v:shape>
            <v:rect style="position:absolute;left:3210;top:-2173;width:140;height:140" filled="true" fillcolor="#b3a1c6" stroked="false">
              <v:fill type="solid"/>
            </v:rect>
            <v:rect style="position:absolute;left:3210;top:-2173;width:140;height:140" filled="false" stroked="true" strokeweight=".75pt" strokecolor="#b3a1c6">
              <v:stroke dashstyle="solid"/>
            </v:rect>
            <v:rect style="position:absolute;left:3661;top:-2289;width:140;height:140" filled="true" fillcolor="#b3a1c6" stroked="false">
              <v:fill type="solid"/>
            </v:rect>
            <v:rect style="position:absolute;left:3661;top:-2289;width:140;height:140" filled="false" stroked="true" strokeweight=".75pt" strokecolor="#b3a1c6">
              <v:stroke dashstyle="solid"/>
            </v:rect>
            <v:rect style="position:absolute;left:4113;top:-2387;width:140;height:140" filled="true" fillcolor="#b3a1c6" stroked="false">
              <v:fill type="solid"/>
            </v:rect>
            <v:rect style="position:absolute;left:4113;top:-2387;width:140;height:140" filled="false" stroked="true" strokeweight=".75pt" strokecolor="#b3a1c6">
              <v:stroke dashstyle="solid"/>
            </v:rect>
            <v:rect style="position:absolute;left:4561;top:-2617;width:140;height:140" filled="true" fillcolor="#b3a1c6" stroked="false">
              <v:fill type="solid"/>
            </v:rect>
            <v:rect style="position:absolute;left:4561;top:-2617;width:140;height:140" filled="false" stroked="true" strokeweight=".75pt" strokecolor="#b3a1c6">
              <v:stroke dashstyle="solid"/>
            </v:rect>
            <v:rect style="position:absolute;left:5013;top:-2781;width:140;height:140" filled="true" fillcolor="#b3a1c6" stroked="false">
              <v:fill type="solid"/>
            </v:rect>
            <v:rect style="position:absolute;left:5013;top:-2781;width:140;height:140" filled="false" stroked="true" strokeweight=".75pt" strokecolor="#b3a1c6">
              <v:stroke dashstyle="solid"/>
            </v:rect>
            <v:rect style="position:absolute;left:5464;top:-2937;width:140;height:140" filled="true" fillcolor="#b3a1c6" stroked="false">
              <v:fill type="solid"/>
            </v:rect>
            <v:rect style="position:absolute;left:5464;top:-2937;width:140;height:140" filled="false" stroked="true" strokeweight=".75pt" strokecolor="#b3a1c6">
              <v:stroke dashstyle="solid"/>
            </v:rect>
            <v:rect style="position:absolute;left:5913;top:-3136;width:140;height:140" filled="true" fillcolor="#b3a1c6" stroked="false">
              <v:fill type="solid"/>
            </v:rect>
            <v:rect style="position:absolute;left:5913;top:-3136;width:140;height:140" filled="false" stroked="true" strokeweight=".75pt" strokecolor="#b3a1c6">
              <v:stroke dashstyle="solid"/>
            </v:rect>
            <v:shape style="position:absolute;left:3210;top:-2173;width:140;height:140" coordorigin="3211,-2173" coordsize="140,140" path="m3280,-2103l3211,-2034,3350,-2034,3280,-2103xm3350,-2173l3211,-2173,3280,-2103,3350,-2173xe" filled="true" fillcolor="#b3a1c6" stroked="false">
              <v:path arrowok="t"/>
              <v:fill type="solid"/>
            </v:shape>
            <v:shape style="position:absolute;left:3210;top:-2173;width:140;height:140" coordorigin="3211,-2173" coordsize="140,140" path="m3350,-2034l3211,-2173m3211,-2034l3350,-2173e" filled="false" stroked="true" strokeweight=".75pt" strokecolor="#7c5f9f">
              <v:path arrowok="t"/>
              <v:stroke dashstyle="solid"/>
            </v:shape>
            <v:shape style="position:absolute;left:3661;top:-2289;width:140;height:140" coordorigin="3662,-2288" coordsize="140,140" path="m3731,-2218l3662,-2149,3801,-2149,3731,-2218xm3801,-2288l3662,-2288,3731,-2218,3801,-2288xe" filled="true" fillcolor="#b3a1c6" stroked="false">
              <v:path arrowok="t"/>
              <v:fill type="solid"/>
            </v:shape>
            <v:shape style="position:absolute;left:3661;top:-2289;width:140;height:140" coordorigin="3662,-2288" coordsize="140,140" path="m3801,-2149l3662,-2288m3662,-2149l3801,-2288e" filled="false" stroked="true" strokeweight=".75pt" strokecolor="#7c5f9f">
              <v:path arrowok="t"/>
              <v:stroke dashstyle="solid"/>
            </v:shape>
            <v:shape style="position:absolute;left:4113;top:-2387;width:140;height:140" coordorigin="4113,-2386" coordsize="140,140" path="m4183,-2317l4113,-2247,4252,-2247,4183,-2317xm4252,-2386l4113,-2386,4183,-2317,4252,-2386xe" filled="true" fillcolor="#b3a1c6" stroked="false">
              <v:path arrowok="t"/>
              <v:fill type="solid"/>
            </v:shape>
            <v:shape style="position:absolute;left:4113;top:-2387;width:140;height:140" coordorigin="4113,-2386" coordsize="140,140" path="m4252,-2247l4113,-2386m4113,-2247l4252,-2386e" filled="false" stroked="true" strokeweight=".75pt" strokecolor="#7c5f9f">
              <v:path arrowok="t"/>
              <v:stroke dashstyle="solid"/>
            </v:shape>
            <v:shape style="position:absolute;left:4561;top:-2617;width:140;height:140" coordorigin="4562,-2617" coordsize="140,140" path="m4631,-2547l4562,-2478,4701,-2478,4631,-2547xm4701,-2617l4562,-2617,4631,-2547,4701,-2617xe" filled="true" fillcolor="#b3a1c6" stroked="false">
              <v:path arrowok="t"/>
              <v:fill type="solid"/>
            </v:shape>
            <v:shape style="position:absolute;left:4561;top:-2617;width:140;height:140" coordorigin="4562,-2617" coordsize="140,140" path="m4701,-2478l4562,-2617m4562,-2478l4701,-2617e" filled="false" stroked="true" strokeweight=".75pt" strokecolor="#7c5f9f">
              <v:path arrowok="t"/>
              <v:stroke dashstyle="solid"/>
            </v:shape>
            <v:shape style="position:absolute;left:5013;top:-2781;width:140;height:140" coordorigin="5013,-2780" coordsize="140,140" path="m5083,-2710l5013,-2641,5152,-2641,5083,-2710xm5152,-2780l5013,-2780,5083,-2710,5152,-2780xe" filled="true" fillcolor="#b3a1c6" stroked="false">
              <v:path arrowok="t"/>
              <v:fill type="solid"/>
            </v:shape>
            <v:shape style="position:absolute;left:5013;top:-2781;width:140;height:140" coordorigin="5013,-2780" coordsize="140,140" path="m5152,-2641l5013,-2780m5013,-2641l5152,-2780e" filled="false" stroked="true" strokeweight=".75pt" strokecolor="#7c5f9f">
              <v:path arrowok="t"/>
              <v:stroke dashstyle="solid"/>
            </v:shape>
            <v:shape style="position:absolute;left:5464;top:-2937;width:140;height:140" coordorigin="5464,-2936" coordsize="140,140" path="m5534,-2866l5464,-2797,5603,-2797,5534,-2866xm5603,-2936l5464,-2936,5534,-2866,5603,-2936xe" filled="true" fillcolor="#b3a1c6" stroked="false">
              <v:path arrowok="t"/>
              <v:fill type="solid"/>
            </v:shape>
            <v:shape style="position:absolute;left:5464;top:-2937;width:140;height:140" coordorigin="5464,-2936" coordsize="140,140" path="m5603,-2797l5464,-2936m5464,-2797l5603,-2936e" filled="false" stroked="true" strokeweight=".75pt" strokecolor="#7c5f9f">
              <v:path arrowok="t"/>
              <v:stroke dashstyle="solid"/>
            </v:shape>
            <v:shape style="position:absolute;left:5913;top:-3136;width:140;height:140" coordorigin="5913,-3135" coordsize="140,140" path="m5983,-3066l5913,-2996,6052,-2996,5983,-3066xm6052,-3135l5913,-3135,5983,-3066,6052,-3135xe" filled="true" fillcolor="#b3a1c6" stroked="false">
              <v:path arrowok="t"/>
              <v:fill type="solid"/>
            </v:shape>
            <v:shape style="position:absolute;left:5913;top:-3136;width:140;height:140" coordorigin="5913,-3135" coordsize="140,140" path="m6052,-2996l5913,-3135m5913,-2996l6052,-3135e" filled="false" stroked="true" strokeweight=".75pt" strokecolor="#7c5f9f">
              <v:path arrowok="t"/>
              <v:stroke dashstyle="solid"/>
            </v:shape>
            <v:line style="position:absolute" from="3058,-3900" to="8462,-3900" stroked="true" strokeweight=".72pt" strokecolor="#858585">
              <v:stroke dashstyle="solid"/>
            </v:line>
            <v:line style="position:absolute" from="8774,-2630" to="9158,-2630" stroked="true" strokeweight="2.16pt" strokecolor="#497dba">
              <v:stroke dashstyle="solid"/>
            </v:line>
            <v:shape style="position:absolute;left:8927;top:-2671;width:80;height:80" coordorigin="8927,-2670" coordsize="80,80" path="m8967,-2670l8927,-2630,8967,-2590,9007,-2630,8967,-2670xe" filled="true" fillcolor="#4f81bc" stroked="false">
              <v:path arrowok="t"/>
              <v:fill type="solid"/>
            </v:shape>
            <v:shape style="position:absolute;left:8927;top:-2671;width:80;height:80" coordorigin="8927,-2670" coordsize="80,80" path="m8967,-2670l9007,-2630,8967,-2590,8927,-2630,8967,-2670e" filled="false" stroked="true" strokeweight=".72pt" strokecolor="#497dba">
              <v:path arrowok="t"/>
              <v:stroke dashstyle="solid"/>
            </v:shape>
            <v:line style="position:absolute" from="8774,-2318" to="9158,-2318" stroked="true" strokeweight="2.16pt" strokecolor="#00af50">
              <v:stroke dashstyle="solid"/>
            </v:line>
            <v:shape style="position:absolute;left:8927;top:-2358;width:80;height:80" coordorigin="8927,-2357" coordsize="80,80" path="m8967,-2357l8927,-2277,9007,-2277,8967,-2357xe" filled="true" fillcolor="#33cc33" stroked="false">
              <v:path arrowok="t"/>
              <v:fill type="solid"/>
            </v:shape>
            <v:shape style="position:absolute;left:8927;top:-2358;width:80;height:80" coordorigin="8927,-2357" coordsize="80,80" path="m8967,-2357l9007,-2277,8927,-2277,8967,-2357e" filled="false" stroked="true" strokeweight=".72pt" strokecolor="#00af50">
              <v:path arrowok="t"/>
              <v:stroke dashstyle="solid"/>
            </v:shape>
            <v:line style="position:absolute" from="8774,-2004" to="9158,-2004" stroked="true" strokeweight="2.16pt" strokecolor="#bd4a47">
              <v:stroke dashstyle="solid"/>
            </v:line>
            <v:rect style="position:absolute;left:8928;top:-2045;width:80;height:82" filled="true" fillcolor="#c0504d" stroked="false">
              <v:fill type="solid"/>
            </v:rect>
            <v:rect style="position:absolute;left:8928;top:-2045;width:80;height:82" filled="false" stroked="true" strokeweight=".72pt" strokecolor="#bd4a47">
              <v:stroke dashstyle="solid"/>
            </v:rect>
            <v:line style="position:absolute" from="8774,-1689" to="9158,-1689" stroked="true" strokeweight="2.16pt" strokecolor="#7c5f9f">
              <v:stroke dashstyle="solid"/>
            </v:line>
            <v:rect style="position:absolute;left:8928;top:-1731;width:80;height:80" filled="true" fillcolor="#b3a1c6" stroked="false">
              <v:fill type="solid"/>
            </v:rect>
            <v:rect style="position:absolute;left:8928;top:-1731;width:80;height:80" filled="false" stroked="true" strokeweight=".72pt" strokecolor="#b3a1c6">
              <v:stroke dashstyle="solid"/>
            </v:rect>
            <v:shape style="position:absolute;left:8928;top:-1731;width:80;height:80" coordorigin="8928,-1730" coordsize="80,80" path="m8968,-1690l8928,-1651,9007,-1651,8968,-1690xm9007,-1730l8928,-1730,8968,-1690,9007,-1730xe" filled="true" fillcolor="#b3a1c6" stroked="false">
              <v:path arrowok="t"/>
              <v:fill type="solid"/>
            </v:shape>
            <v:shape style="position:absolute;left:8928;top:-1731;width:80;height:80" coordorigin="8928,-1730" coordsize="80,80" path="m9007,-1651l8928,-1730m8928,-1651l9007,-1730e" filled="false" stroked="true" strokeweight=".72pt" strokecolor="#7c5f9f">
              <v:path arrowok="t"/>
              <v:stroke dashstyle="solid"/>
            </v:shape>
            <v:rect style="position:absolute;left:2289;top:-4741;width:7437;height:4539" filled="false" stroked="true" strokeweight=".75pt" strokecolor="#858585">
              <v:stroke dashstyle="solid"/>
            </v:rect>
            <v:shape style="position:absolute;left:3888;top:-4518;width:4260;height:360" type="#_x0000_t202" filled="false" stroked="false">
              <v:textbox inset="0,0,0,0">
                <w:txbxContent>
                  <w:p>
                    <w:pPr>
                      <w:spacing w:line="360" w:lineRule="exact" w:before="0"/>
                      <w:ind w:left="0" w:right="0" w:firstLine="0"/>
                      <w:jc w:val="left"/>
                      <w:rPr>
                        <w:rFonts w:ascii="Calibri" w:hAnsi="Calibri"/>
                        <w:b/>
                        <w:sz w:val="36"/>
                      </w:rPr>
                    </w:pPr>
                    <w:r>
                      <w:rPr>
                        <w:rFonts w:ascii="Calibri" w:hAnsi="Calibri"/>
                        <w:b/>
                        <w:sz w:val="36"/>
                      </w:rPr>
                      <w:t>% Ejecución POAI 2016-2019</w:t>
                    </w:r>
                  </w:p>
                </w:txbxContent>
              </v:textbox>
              <w10:wrap type="none"/>
            </v:shape>
            <v:shape style="position:absolute;left:9201;top:-2707;width:344;height:1101" type="#_x0000_t202" filled="false" stroked="false">
              <v:textbox inset="0,0,0,0">
                <w:txbxContent>
                  <w:p>
                    <w:pPr>
                      <w:spacing w:line="164" w:lineRule="exact" w:before="0"/>
                      <w:ind w:left="0" w:right="0" w:firstLine="0"/>
                      <w:jc w:val="left"/>
                      <w:rPr>
                        <w:rFonts w:ascii="Calibri"/>
                        <w:sz w:val="16"/>
                      </w:rPr>
                    </w:pPr>
                    <w:r>
                      <w:rPr>
                        <w:rFonts w:ascii="Calibri"/>
                        <w:sz w:val="16"/>
                      </w:rPr>
                      <w:t>2016</w:t>
                    </w:r>
                  </w:p>
                  <w:p>
                    <w:pPr>
                      <w:spacing w:before="118"/>
                      <w:ind w:left="0" w:right="0" w:firstLine="0"/>
                      <w:jc w:val="left"/>
                      <w:rPr>
                        <w:rFonts w:ascii="Calibri"/>
                        <w:sz w:val="16"/>
                      </w:rPr>
                    </w:pPr>
                    <w:r>
                      <w:rPr>
                        <w:rFonts w:ascii="Calibri"/>
                        <w:sz w:val="16"/>
                      </w:rPr>
                      <w:t>2017</w:t>
                    </w:r>
                  </w:p>
                  <w:p>
                    <w:pPr>
                      <w:spacing w:before="117"/>
                      <w:ind w:left="0" w:right="0" w:firstLine="0"/>
                      <w:jc w:val="left"/>
                      <w:rPr>
                        <w:rFonts w:ascii="Calibri"/>
                        <w:sz w:val="16"/>
                      </w:rPr>
                    </w:pPr>
                    <w:r>
                      <w:rPr>
                        <w:rFonts w:ascii="Calibri"/>
                        <w:sz w:val="16"/>
                      </w:rPr>
                      <w:t>2018</w:t>
                    </w:r>
                  </w:p>
                  <w:p>
                    <w:pPr>
                      <w:spacing w:line="193" w:lineRule="exact" w:before="119"/>
                      <w:ind w:left="0" w:right="0" w:firstLine="0"/>
                      <w:jc w:val="left"/>
                      <w:rPr>
                        <w:rFonts w:ascii="Calibri"/>
                        <w:sz w:val="16"/>
                      </w:rPr>
                    </w:pPr>
                    <w:r>
                      <w:rPr>
                        <w:rFonts w:ascii="Calibri"/>
                        <w:sz w:val="16"/>
                      </w:rPr>
                      <w:t>2019</w:t>
                    </w:r>
                  </w:p>
                </w:txbxContent>
              </v:textbox>
              <w10:wrap type="none"/>
            </v:shape>
            <v:shape style="position:absolute;left:5493;top:-655;width:555;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Meses</w:t>
                    </w:r>
                  </w:p>
                </w:txbxContent>
              </v:textbox>
              <w10:wrap type="none"/>
            </v:shape>
            <w10:wrap type="none"/>
          </v:group>
        </w:pict>
      </w:r>
      <w:r>
        <w:rPr/>
        <w:t>En la siguiente tabla se detalla el presupuesto asignado a los organismos de seguridad pa- ra el 2019:</w:t>
      </w:r>
    </w:p>
    <w:p>
      <w:pPr>
        <w:pStyle w:val="BodyText"/>
        <w:spacing w:before="1"/>
        <w:rPr>
          <w:sz w:val="34"/>
        </w:rPr>
      </w:pPr>
    </w:p>
    <w:p>
      <w:pPr>
        <w:spacing w:before="0"/>
        <w:ind w:left="2666" w:right="0" w:firstLine="0"/>
        <w:jc w:val="left"/>
        <w:rPr>
          <w:rFonts w:ascii="Times New Roman"/>
          <w:i/>
          <w:sz w:val="24"/>
        </w:rPr>
      </w:pPr>
      <w:r>
        <w:rPr>
          <w:rFonts w:ascii="Times New Roman"/>
          <w:i/>
          <w:spacing w:val="-5"/>
          <w:sz w:val="24"/>
        </w:rPr>
        <w:t>Tabla </w:t>
      </w:r>
      <w:r>
        <w:rPr>
          <w:rFonts w:ascii="Times New Roman"/>
          <w:i/>
          <w:sz w:val="24"/>
        </w:rPr>
        <w:t>3Presupuesto organismos de seguridad</w:t>
      </w:r>
      <w:r>
        <w:rPr>
          <w:rFonts w:ascii="Times New Roman"/>
          <w:i/>
          <w:spacing w:val="-31"/>
          <w:sz w:val="24"/>
        </w:rPr>
        <w:t> </w:t>
      </w:r>
      <w:r>
        <w:rPr>
          <w:rFonts w:ascii="Times New Roman"/>
          <w:i/>
          <w:sz w:val="24"/>
        </w:rPr>
        <w:t>2019</w:t>
      </w:r>
    </w:p>
    <w:p>
      <w:pPr>
        <w:pStyle w:val="BodyText"/>
        <w:spacing w:before="1" w:after="1"/>
        <w:rPr>
          <w:rFonts w:ascii="Times New Roman"/>
          <w:i/>
          <w:sz w:val="11"/>
        </w:rPr>
      </w:pPr>
    </w:p>
    <w:tbl>
      <w:tblPr>
        <w:tblW w:w="0" w:type="auto"/>
        <w:jc w:val="left"/>
        <w:tblInd w:w="2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3"/>
        <w:gridCol w:w="2465"/>
      </w:tblGrid>
      <w:tr>
        <w:trPr>
          <w:trHeight w:val="1029" w:hRule="atLeast"/>
        </w:trPr>
        <w:tc>
          <w:tcPr>
            <w:tcW w:w="2873" w:type="dxa"/>
          </w:tcPr>
          <w:p>
            <w:pPr>
              <w:pStyle w:val="TableParagraph"/>
              <w:spacing w:before="3"/>
              <w:rPr>
                <w:rFonts w:ascii="Times New Roman"/>
                <w:i/>
                <w:sz w:val="22"/>
              </w:rPr>
            </w:pPr>
          </w:p>
          <w:p>
            <w:pPr>
              <w:pStyle w:val="TableParagraph"/>
              <w:ind w:left="809"/>
              <w:rPr>
                <w:b/>
                <w:sz w:val="20"/>
              </w:rPr>
            </w:pPr>
            <w:r>
              <w:rPr>
                <w:b/>
                <w:sz w:val="20"/>
              </w:rPr>
              <w:t>ORGANISMO</w:t>
            </w:r>
          </w:p>
        </w:tc>
        <w:tc>
          <w:tcPr>
            <w:tcW w:w="2465" w:type="dxa"/>
          </w:tcPr>
          <w:p>
            <w:pPr>
              <w:pStyle w:val="TableParagraph"/>
              <w:spacing w:before="3"/>
              <w:rPr>
                <w:rFonts w:ascii="Times New Roman"/>
                <w:i/>
                <w:sz w:val="22"/>
              </w:rPr>
            </w:pPr>
          </w:p>
          <w:p>
            <w:pPr>
              <w:pStyle w:val="TableParagraph"/>
              <w:ind w:left="305"/>
              <w:rPr>
                <w:b/>
                <w:sz w:val="20"/>
              </w:rPr>
            </w:pPr>
            <w:r>
              <w:rPr>
                <w:b/>
                <w:sz w:val="20"/>
              </w:rPr>
              <w:t>VALOR</w:t>
            </w:r>
            <w:r>
              <w:rPr>
                <w:b/>
                <w:spacing w:val="-10"/>
                <w:sz w:val="20"/>
              </w:rPr>
              <w:t> </w:t>
            </w:r>
            <w:r>
              <w:rPr>
                <w:b/>
                <w:sz w:val="20"/>
              </w:rPr>
              <w:t>INVERSION</w:t>
            </w:r>
          </w:p>
          <w:p>
            <w:pPr>
              <w:pStyle w:val="TableParagraph"/>
              <w:spacing w:before="1"/>
              <w:ind w:left="69"/>
              <w:rPr>
                <w:sz w:val="24"/>
              </w:rPr>
            </w:pPr>
            <w:r>
              <w:rPr>
                <w:sz w:val="24"/>
              </w:rPr>
              <w:t>(millones de</w:t>
            </w:r>
            <w:r>
              <w:rPr>
                <w:spacing w:val="-3"/>
                <w:sz w:val="24"/>
              </w:rPr>
              <w:t> </w:t>
            </w:r>
            <w:r>
              <w:rPr>
                <w:sz w:val="24"/>
              </w:rPr>
              <w:t>pesos)</w:t>
            </w:r>
          </w:p>
        </w:tc>
      </w:tr>
      <w:tr>
        <w:trPr>
          <w:trHeight w:val="331" w:hRule="atLeast"/>
        </w:trPr>
        <w:tc>
          <w:tcPr>
            <w:tcW w:w="2873" w:type="dxa"/>
          </w:tcPr>
          <w:p>
            <w:pPr>
              <w:pStyle w:val="TableParagraph"/>
              <w:spacing w:line="260" w:lineRule="exact" w:before="51"/>
              <w:ind w:left="71"/>
              <w:rPr>
                <w:sz w:val="24"/>
              </w:rPr>
            </w:pPr>
            <w:r>
              <w:rPr>
                <w:sz w:val="24"/>
              </w:rPr>
              <w:t>Policía Metropolitana</w:t>
            </w:r>
          </w:p>
        </w:tc>
        <w:tc>
          <w:tcPr>
            <w:tcW w:w="2465" w:type="dxa"/>
          </w:tcPr>
          <w:p>
            <w:pPr>
              <w:pStyle w:val="TableParagraph"/>
              <w:spacing w:before="22"/>
              <w:ind w:right="57"/>
              <w:jc w:val="right"/>
              <w:rPr>
                <w:sz w:val="24"/>
              </w:rPr>
            </w:pPr>
            <w:r>
              <w:rPr>
                <w:sz w:val="24"/>
              </w:rPr>
              <w:t>$ 35.352.683.268</w:t>
            </w:r>
          </w:p>
        </w:tc>
      </w:tr>
      <w:tr>
        <w:trPr>
          <w:trHeight w:val="328" w:hRule="atLeast"/>
        </w:trPr>
        <w:tc>
          <w:tcPr>
            <w:tcW w:w="2873" w:type="dxa"/>
          </w:tcPr>
          <w:p>
            <w:pPr>
              <w:pStyle w:val="TableParagraph"/>
              <w:spacing w:before="22"/>
              <w:ind w:left="71"/>
              <w:rPr>
                <w:sz w:val="24"/>
              </w:rPr>
            </w:pPr>
            <w:r>
              <w:rPr>
                <w:sz w:val="24"/>
              </w:rPr>
              <w:t>Bapom</w:t>
            </w:r>
          </w:p>
        </w:tc>
        <w:tc>
          <w:tcPr>
            <w:tcW w:w="2465" w:type="dxa"/>
          </w:tcPr>
          <w:p>
            <w:pPr>
              <w:pStyle w:val="TableParagraph"/>
              <w:spacing w:before="22"/>
              <w:ind w:right="57"/>
              <w:jc w:val="right"/>
              <w:rPr>
                <w:sz w:val="24"/>
              </w:rPr>
            </w:pPr>
            <w:r>
              <w:rPr>
                <w:sz w:val="24"/>
              </w:rPr>
              <w:t>$ 1.760.000.000</w:t>
            </w:r>
          </w:p>
        </w:tc>
      </w:tr>
      <w:tr>
        <w:trPr>
          <w:trHeight w:val="330" w:hRule="atLeast"/>
        </w:trPr>
        <w:tc>
          <w:tcPr>
            <w:tcW w:w="2873" w:type="dxa"/>
          </w:tcPr>
          <w:p>
            <w:pPr>
              <w:pStyle w:val="TableParagraph"/>
              <w:spacing w:before="24"/>
              <w:ind w:left="71"/>
              <w:rPr>
                <w:sz w:val="24"/>
              </w:rPr>
            </w:pPr>
            <w:r>
              <w:rPr>
                <w:sz w:val="24"/>
              </w:rPr>
              <w:t>EMAVI</w:t>
            </w:r>
          </w:p>
        </w:tc>
        <w:tc>
          <w:tcPr>
            <w:tcW w:w="2465" w:type="dxa"/>
          </w:tcPr>
          <w:p>
            <w:pPr>
              <w:pStyle w:val="TableParagraph"/>
              <w:spacing w:before="24"/>
              <w:ind w:right="57"/>
              <w:jc w:val="right"/>
              <w:rPr>
                <w:sz w:val="24"/>
              </w:rPr>
            </w:pPr>
            <w:r>
              <w:rPr>
                <w:sz w:val="24"/>
              </w:rPr>
              <w:t>$ 230.000.000</w:t>
            </w:r>
          </w:p>
        </w:tc>
      </w:tr>
      <w:tr>
        <w:trPr>
          <w:trHeight w:val="330" w:hRule="atLeast"/>
        </w:trPr>
        <w:tc>
          <w:tcPr>
            <w:tcW w:w="2873" w:type="dxa"/>
          </w:tcPr>
          <w:p>
            <w:pPr>
              <w:pStyle w:val="TableParagraph"/>
              <w:spacing w:before="22"/>
              <w:ind w:left="71"/>
              <w:rPr>
                <w:sz w:val="24"/>
              </w:rPr>
            </w:pPr>
            <w:r>
              <w:rPr>
                <w:sz w:val="24"/>
              </w:rPr>
              <w:t>Fiscalía - CTI</w:t>
            </w:r>
          </w:p>
        </w:tc>
        <w:tc>
          <w:tcPr>
            <w:tcW w:w="2465" w:type="dxa"/>
          </w:tcPr>
          <w:p>
            <w:pPr>
              <w:pStyle w:val="TableParagraph"/>
              <w:spacing w:before="22"/>
              <w:ind w:right="57"/>
              <w:jc w:val="right"/>
              <w:rPr>
                <w:sz w:val="24"/>
              </w:rPr>
            </w:pPr>
            <w:r>
              <w:rPr>
                <w:sz w:val="24"/>
              </w:rPr>
              <w:t>$ 2.775.963.350</w:t>
            </w:r>
          </w:p>
        </w:tc>
      </w:tr>
      <w:tr>
        <w:trPr>
          <w:trHeight w:val="328" w:hRule="atLeast"/>
        </w:trPr>
        <w:tc>
          <w:tcPr>
            <w:tcW w:w="2873" w:type="dxa"/>
          </w:tcPr>
          <w:p>
            <w:pPr>
              <w:pStyle w:val="TableParagraph"/>
              <w:spacing w:before="22"/>
              <w:ind w:left="71"/>
              <w:rPr>
                <w:sz w:val="24"/>
              </w:rPr>
            </w:pPr>
            <w:r>
              <w:rPr>
                <w:sz w:val="24"/>
              </w:rPr>
              <w:t>Migración Colombia</w:t>
            </w:r>
          </w:p>
        </w:tc>
        <w:tc>
          <w:tcPr>
            <w:tcW w:w="2465" w:type="dxa"/>
          </w:tcPr>
          <w:p>
            <w:pPr>
              <w:pStyle w:val="TableParagraph"/>
              <w:spacing w:before="22"/>
              <w:ind w:right="56"/>
              <w:jc w:val="right"/>
              <w:rPr>
                <w:sz w:val="24"/>
              </w:rPr>
            </w:pPr>
            <w:r>
              <w:rPr>
                <w:sz w:val="24"/>
              </w:rPr>
              <w:t>$ 42.000.000</w:t>
            </w:r>
          </w:p>
        </w:tc>
      </w:tr>
      <w:tr>
        <w:trPr>
          <w:trHeight w:val="330" w:hRule="atLeast"/>
        </w:trPr>
        <w:tc>
          <w:tcPr>
            <w:tcW w:w="2873" w:type="dxa"/>
          </w:tcPr>
          <w:p>
            <w:pPr>
              <w:pStyle w:val="TableParagraph"/>
              <w:spacing w:before="24"/>
              <w:ind w:left="71"/>
              <w:rPr>
                <w:sz w:val="24"/>
              </w:rPr>
            </w:pPr>
            <w:r>
              <w:rPr>
                <w:sz w:val="24"/>
              </w:rPr>
              <w:t>Medicina Legal</w:t>
            </w:r>
          </w:p>
        </w:tc>
        <w:tc>
          <w:tcPr>
            <w:tcW w:w="2465" w:type="dxa"/>
          </w:tcPr>
          <w:p>
            <w:pPr>
              <w:pStyle w:val="TableParagraph"/>
              <w:spacing w:before="24"/>
              <w:ind w:right="57"/>
              <w:jc w:val="right"/>
              <w:rPr>
                <w:sz w:val="24"/>
              </w:rPr>
            </w:pPr>
            <w:r>
              <w:rPr>
                <w:sz w:val="24"/>
              </w:rPr>
              <w:t>$ 560.000.000</w:t>
            </w:r>
          </w:p>
        </w:tc>
      </w:tr>
      <w:tr>
        <w:trPr>
          <w:trHeight w:val="316" w:hRule="atLeast"/>
        </w:trPr>
        <w:tc>
          <w:tcPr>
            <w:tcW w:w="2873" w:type="dxa"/>
          </w:tcPr>
          <w:p>
            <w:pPr>
              <w:pStyle w:val="TableParagraph"/>
              <w:spacing w:before="14"/>
              <w:ind w:left="429"/>
              <w:rPr>
                <w:sz w:val="24"/>
              </w:rPr>
            </w:pPr>
            <w:r>
              <w:rPr>
                <w:sz w:val="24"/>
              </w:rPr>
              <w:t>Total, Presupuesto</w:t>
            </w:r>
          </w:p>
        </w:tc>
        <w:tc>
          <w:tcPr>
            <w:tcW w:w="2465" w:type="dxa"/>
          </w:tcPr>
          <w:p>
            <w:pPr>
              <w:pStyle w:val="TableParagraph"/>
              <w:spacing w:before="14"/>
              <w:ind w:left="297"/>
              <w:rPr>
                <w:b/>
                <w:sz w:val="24"/>
              </w:rPr>
            </w:pPr>
            <w:r>
              <w:rPr>
                <w:b/>
                <w:sz w:val="24"/>
              </w:rPr>
              <w:t>$ 40.720.646.618</w:t>
            </w:r>
          </w:p>
        </w:tc>
      </w:tr>
    </w:tbl>
    <w:p>
      <w:pPr>
        <w:pStyle w:val="BodyText"/>
        <w:spacing w:before="8"/>
        <w:rPr>
          <w:rFonts w:ascii="Times New Roman"/>
          <w:i/>
          <w:sz w:val="33"/>
        </w:rPr>
      </w:pPr>
    </w:p>
    <w:p>
      <w:pPr>
        <w:spacing w:before="0"/>
        <w:ind w:left="2664" w:right="0" w:firstLine="0"/>
        <w:jc w:val="left"/>
        <w:rPr>
          <w:rFonts w:ascii="Times New Roman" w:hAnsi="Times New Roman"/>
          <w:i/>
          <w:sz w:val="24"/>
        </w:rPr>
      </w:pPr>
      <w:r>
        <w:rPr>
          <w:rFonts w:ascii="Times New Roman" w:hAnsi="Times New Roman"/>
          <w:i/>
          <w:spacing w:val="-5"/>
          <w:sz w:val="24"/>
        </w:rPr>
        <w:t>Tabla </w:t>
      </w:r>
      <w:r>
        <w:rPr>
          <w:rFonts w:ascii="Times New Roman" w:hAnsi="Times New Roman"/>
          <w:i/>
          <w:sz w:val="24"/>
        </w:rPr>
        <w:t>4 Detalle Presupuesto Policía</w:t>
      </w:r>
      <w:r>
        <w:rPr>
          <w:rFonts w:ascii="Times New Roman" w:hAnsi="Times New Roman"/>
          <w:i/>
          <w:spacing w:val="-20"/>
          <w:sz w:val="24"/>
        </w:rPr>
        <w:t> </w:t>
      </w:r>
      <w:r>
        <w:rPr>
          <w:rFonts w:ascii="Times New Roman" w:hAnsi="Times New Roman"/>
          <w:i/>
          <w:sz w:val="24"/>
        </w:rPr>
        <w:t>Metropolitana</w:t>
      </w:r>
    </w:p>
    <w:p>
      <w:pPr>
        <w:pStyle w:val="BodyText"/>
        <w:spacing w:before="11"/>
        <w:rPr>
          <w:rFonts w:ascii="Times New Roman"/>
          <w:i/>
          <w:sz w:val="10"/>
        </w:rPr>
      </w:pPr>
    </w:p>
    <w:tbl>
      <w:tblPr>
        <w:tblW w:w="0" w:type="auto"/>
        <w:jc w:val="left"/>
        <w:tblInd w:w="2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2"/>
        <w:gridCol w:w="2261"/>
      </w:tblGrid>
      <w:tr>
        <w:trPr>
          <w:trHeight w:val="506" w:hRule="atLeast"/>
        </w:trPr>
        <w:tc>
          <w:tcPr>
            <w:tcW w:w="3522" w:type="dxa"/>
          </w:tcPr>
          <w:p>
            <w:pPr>
              <w:pStyle w:val="TableParagraph"/>
              <w:spacing w:before="18"/>
              <w:ind w:left="1133"/>
              <w:rPr>
                <w:b/>
                <w:sz w:val="20"/>
              </w:rPr>
            </w:pPr>
            <w:r>
              <w:rPr>
                <w:b/>
                <w:sz w:val="20"/>
              </w:rPr>
              <w:t>ORGANISMO</w:t>
            </w:r>
          </w:p>
        </w:tc>
        <w:tc>
          <w:tcPr>
            <w:tcW w:w="2261" w:type="dxa"/>
          </w:tcPr>
          <w:p>
            <w:pPr>
              <w:pStyle w:val="TableParagraph"/>
              <w:spacing w:line="227" w:lineRule="exact"/>
              <w:ind w:left="335"/>
              <w:rPr>
                <w:b/>
                <w:sz w:val="20"/>
              </w:rPr>
            </w:pPr>
            <w:r>
              <w:rPr>
                <w:b/>
                <w:sz w:val="20"/>
              </w:rPr>
              <w:t>VALOR</w:t>
            </w:r>
            <w:r>
              <w:rPr>
                <w:b/>
                <w:spacing w:val="-10"/>
                <w:sz w:val="20"/>
              </w:rPr>
              <w:t> </w:t>
            </w:r>
            <w:r>
              <w:rPr>
                <w:b/>
                <w:sz w:val="20"/>
              </w:rPr>
              <w:t>INVERSION</w:t>
            </w:r>
          </w:p>
          <w:p>
            <w:pPr>
              <w:pStyle w:val="TableParagraph"/>
              <w:spacing w:line="260" w:lineRule="exact"/>
              <w:ind w:left="110"/>
              <w:rPr>
                <w:sz w:val="24"/>
              </w:rPr>
            </w:pPr>
            <w:r>
              <w:rPr>
                <w:sz w:val="24"/>
              </w:rPr>
              <w:t>(millones de</w:t>
            </w:r>
            <w:r>
              <w:rPr>
                <w:spacing w:val="-3"/>
                <w:sz w:val="24"/>
              </w:rPr>
              <w:t> </w:t>
            </w:r>
            <w:r>
              <w:rPr>
                <w:sz w:val="24"/>
              </w:rPr>
              <w:t>pesos)</w:t>
            </w:r>
          </w:p>
        </w:tc>
      </w:tr>
      <w:tr>
        <w:trPr>
          <w:trHeight w:val="554" w:hRule="atLeast"/>
        </w:trPr>
        <w:tc>
          <w:tcPr>
            <w:tcW w:w="3522" w:type="dxa"/>
          </w:tcPr>
          <w:p>
            <w:pPr>
              <w:pStyle w:val="TableParagraph"/>
              <w:spacing w:before="134"/>
              <w:ind w:left="71"/>
              <w:rPr>
                <w:sz w:val="24"/>
              </w:rPr>
            </w:pPr>
            <w:r>
              <w:rPr>
                <w:sz w:val="24"/>
              </w:rPr>
              <w:t>Logística Policial</w:t>
            </w:r>
          </w:p>
        </w:tc>
        <w:tc>
          <w:tcPr>
            <w:tcW w:w="2261" w:type="dxa"/>
          </w:tcPr>
          <w:p>
            <w:pPr>
              <w:pStyle w:val="TableParagraph"/>
              <w:spacing w:before="9"/>
              <w:rPr>
                <w:rFonts w:ascii="Times New Roman"/>
                <w:i/>
                <w:sz w:val="23"/>
              </w:rPr>
            </w:pPr>
          </w:p>
          <w:p>
            <w:pPr>
              <w:pStyle w:val="TableParagraph"/>
              <w:spacing w:line="260" w:lineRule="exact"/>
              <w:ind w:right="58"/>
              <w:jc w:val="right"/>
              <w:rPr>
                <w:sz w:val="24"/>
              </w:rPr>
            </w:pPr>
            <w:r>
              <w:rPr>
                <w:sz w:val="24"/>
              </w:rPr>
              <w:t>7.762.393.116</w:t>
            </w:r>
          </w:p>
        </w:tc>
      </w:tr>
      <w:tr>
        <w:trPr>
          <w:trHeight w:val="551" w:hRule="atLeast"/>
        </w:trPr>
        <w:tc>
          <w:tcPr>
            <w:tcW w:w="3522" w:type="dxa"/>
          </w:tcPr>
          <w:p>
            <w:pPr>
              <w:pStyle w:val="TableParagraph"/>
              <w:spacing w:before="132"/>
              <w:ind w:left="71"/>
              <w:rPr>
                <w:sz w:val="24"/>
              </w:rPr>
            </w:pPr>
            <w:r>
              <w:rPr>
                <w:sz w:val="24"/>
              </w:rPr>
              <w:t>Movilidad Policial</w:t>
            </w:r>
          </w:p>
        </w:tc>
        <w:tc>
          <w:tcPr>
            <w:tcW w:w="2261" w:type="dxa"/>
          </w:tcPr>
          <w:p>
            <w:pPr>
              <w:pStyle w:val="TableParagraph"/>
              <w:spacing w:before="7"/>
              <w:rPr>
                <w:rFonts w:ascii="Times New Roman"/>
                <w:i/>
                <w:sz w:val="23"/>
              </w:rPr>
            </w:pPr>
          </w:p>
          <w:p>
            <w:pPr>
              <w:pStyle w:val="TableParagraph"/>
              <w:spacing w:line="260" w:lineRule="exact"/>
              <w:ind w:right="58"/>
              <w:jc w:val="right"/>
              <w:rPr>
                <w:sz w:val="24"/>
              </w:rPr>
            </w:pPr>
            <w:r>
              <w:rPr>
                <w:sz w:val="24"/>
              </w:rPr>
              <w:t>9.000.000.000</w:t>
            </w:r>
          </w:p>
        </w:tc>
      </w:tr>
      <w:tr>
        <w:trPr>
          <w:trHeight w:val="551" w:hRule="atLeast"/>
        </w:trPr>
        <w:tc>
          <w:tcPr>
            <w:tcW w:w="3522" w:type="dxa"/>
          </w:tcPr>
          <w:p>
            <w:pPr>
              <w:pStyle w:val="TableParagraph"/>
              <w:spacing w:before="132"/>
              <w:ind w:left="71"/>
              <w:rPr>
                <w:sz w:val="24"/>
              </w:rPr>
            </w:pPr>
            <w:r>
              <w:rPr>
                <w:sz w:val="24"/>
              </w:rPr>
              <w:t>Mantenimiento estaciones</w:t>
            </w:r>
          </w:p>
        </w:tc>
        <w:tc>
          <w:tcPr>
            <w:tcW w:w="2261" w:type="dxa"/>
          </w:tcPr>
          <w:p>
            <w:pPr>
              <w:pStyle w:val="TableParagraph"/>
              <w:spacing w:before="6"/>
              <w:rPr>
                <w:rFonts w:ascii="Times New Roman"/>
                <w:i/>
                <w:sz w:val="23"/>
              </w:rPr>
            </w:pPr>
          </w:p>
          <w:p>
            <w:pPr>
              <w:pStyle w:val="TableParagraph"/>
              <w:spacing w:line="260" w:lineRule="exact" w:before="1"/>
              <w:ind w:right="58"/>
              <w:jc w:val="right"/>
              <w:rPr>
                <w:sz w:val="24"/>
              </w:rPr>
            </w:pPr>
            <w:r>
              <w:rPr>
                <w:sz w:val="24"/>
              </w:rPr>
              <w:t>3.000.000.000</w:t>
            </w:r>
          </w:p>
        </w:tc>
      </w:tr>
      <w:tr>
        <w:trPr>
          <w:trHeight w:val="330" w:hRule="atLeast"/>
        </w:trPr>
        <w:tc>
          <w:tcPr>
            <w:tcW w:w="3522" w:type="dxa"/>
          </w:tcPr>
          <w:p>
            <w:pPr>
              <w:pStyle w:val="TableParagraph"/>
              <w:spacing w:before="22"/>
              <w:ind w:left="71"/>
              <w:rPr>
                <w:sz w:val="24"/>
              </w:rPr>
            </w:pPr>
            <w:r>
              <w:rPr>
                <w:sz w:val="24"/>
              </w:rPr>
              <w:t>Ampliación de Cámaras</w:t>
            </w:r>
          </w:p>
        </w:tc>
        <w:tc>
          <w:tcPr>
            <w:tcW w:w="2261" w:type="dxa"/>
          </w:tcPr>
          <w:p>
            <w:pPr>
              <w:pStyle w:val="TableParagraph"/>
              <w:rPr>
                <w:rFonts w:ascii="Times New Roman"/>
                <w:sz w:val="22"/>
              </w:rPr>
            </w:pPr>
          </w:p>
        </w:tc>
      </w:tr>
    </w:tbl>
    <w:p>
      <w:pPr>
        <w:spacing w:after="0"/>
        <w:rPr>
          <w:rFonts w:ascii="Times New Roman"/>
          <w:sz w:val="22"/>
        </w:rPr>
        <w:sectPr>
          <w:pgSz w:w="12240" w:h="15840"/>
          <w:pgMar w:header="0" w:footer="897" w:top="740" w:bottom="1160" w:left="900" w:right="0"/>
        </w:sectPr>
      </w:pPr>
    </w:p>
    <w:tbl>
      <w:tblPr>
        <w:tblW w:w="0" w:type="auto"/>
        <w:jc w:val="left"/>
        <w:tblInd w:w="2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2"/>
        <w:gridCol w:w="2261"/>
      </w:tblGrid>
      <w:tr>
        <w:trPr>
          <w:trHeight w:val="328" w:hRule="atLeast"/>
        </w:trPr>
        <w:tc>
          <w:tcPr>
            <w:tcW w:w="3522" w:type="dxa"/>
          </w:tcPr>
          <w:p>
            <w:pPr>
              <w:pStyle w:val="TableParagraph"/>
              <w:rPr>
                <w:rFonts w:ascii="Times New Roman"/>
                <w:sz w:val="24"/>
              </w:rPr>
            </w:pPr>
          </w:p>
        </w:tc>
        <w:tc>
          <w:tcPr>
            <w:tcW w:w="2261" w:type="dxa"/>
          </w:tcPr>
          <w:p>
            <w:pPr>
              <w:pStyle w:val="TableParagraph"/>
              <w:spacing w:line="271" w:lineRule="exact"/>
              <w:ind w:right="58"/>
              <w:jc w:val="right"/>
              <w:rPr>
                <w:sz w:val="24"/>
              </w:rPr>
            </w:pPr>
            <w:r>
              <w:rPr>
                <w:sz w:val="24"/>
              </w:rPr>
              <w:t>5.399.215.400</w:t>
            </w:r>
          </w:p>
        </w:tc>
      </w:tr>
      <w:tr>
        <w:trPr>
          <w:trHeight w:val="549" w:hRule="atLeast"/>
        </w:trPr>
        <w:tc>
          <w:tcPr>
            <w:tcW w:w="3522" w:type="dxa"/>
            <w:tcBorders>
              <w:bottom w:val="single" w:sz="6" w:space="0" w:color="000000"/>
            </w:tcBorders>
          </w:tcPr>
          <w:p>
            <w:pPr>
              <w:pStyle w:val="TableParagraph"/>
              <w:spacing w:before="134"/>
              <w:ind w:left="71"/>
              <w:rPr>
                <w:sz w:val="24"/>
              </w:rPr>
            </w:pPr>
            <w:r>
              <w:rPr>
                <w:sz w:val="24"/>
              </w:rPr>
              <w:t>Mantenimiento de cámaras</w:t>
            </w:r>
          </w:p>
        </w:tc>
        <w:tc>
          <w:tcPr>
            <w:tcW w:w="2261" w:type="dxa"/>
            <w:tcBorders>
              <w:bottom w:val="single" w:sz="6" w:space="0" w:color="000000"/>
            </w:tcBorders>
          </w:tcPr>
          <w:p>
            <w:pPr>
              <w:pStyle w:val="TableParagraph"/>
              <w:spacing w:before="7"/>
              <w:rPr>
                <w:rFonts w:ascii="Times New Roman"/>
                <w:i/>
                <w:sz w:val="23"/>
              </w:rPr>
            </w:pPr>
          </w:p>
          <w:p>
            <w:pPr>
              <w:pStyle w:val="TableParagraph"/>
              <w:spacing w:line="258" w:lineRule="exact"/>
              <w:ind w:right="58"/>
              <w:jc w:val="right"/>
              <w:rPr>
                <w:sz w:val="24"/>
              </w:rPr>
            </w:pPr>
            <w:r>
              <w:rPr>
                <w:sz w:val="24"/>
              </w:rPr>
              <w:t>9.991.074.752</w:t>
            </w:r>
          </w:p>
        </w:tc>
      </w:tr>
      <w:tr>
        <w:trPr>
          <w:trHeight w:val="551" w:hRule="atLeast"/>
        </w:trPr>
        <w:tc>
          <w:tcPr>
            <w:tcW w:w="3522" w:type="dxa"/>
            <w:tcBorders>
              <w:top w:val="single" w:sz="6" w:space="0" w:color="000000"/>
            </w:tcBorders>
          </w:tcPr>
          <w:p>
            <w:pPr>
              <w:pStyle w:val="TableParagraph"/>
              <w:spacing w:before="132"/>
              <w:ind w:left="71"/>
              <w:rPr>
                <w:sz w:val="24"/>
              </w:rPr>
            </w:pPr>
            <w:r>
              <w:rPr>
                <w:sz w:val="24"/>
              </w:rPr>
              <w:t>Capacitación policial</w:t>
            </w:r>
          </w:p>
        </w:tc>
        <w:tc>
          <w:tcPr>
            <w:tcW w:w="2261" w:type="dxa"/>
            <w:tcBorders>
              <w:top w:val="single" w:sz="6" w:space="0" w:color="000000"/>
            </w:tcBorders>
          </w:tcPr>
          <w:p>
            <w:pPr>
              <w:pStyle w:val="TableParagraph"/>
              <w:spacing w:before="7"/>
              <w:rPr>
                <w:rFonts w:ascii="Times New Roman"/>
                <w:i/>
                <w:sz w:val="23"/>
              </w:rPr>
            </w:pPr>
          </w:p>
          <w:p>
            <w:pPr>
              <w:pStyle w:val="TableParagraph"/>
              <w:spacing w:line="260" w:lineRule="exact"/>
              <w:ind w:right="60"/>
              <w:jc w:val="right"/>
              <w:rPr>
                <w:sz w:val="24"/>
              </w:rPr>
            </w:pPr>
            <w:r>
              <w:rPr>
                <w:sz w:val="24"/>
              </w:rPr>
              <w:t>200.000.000</w:t>
            </w:r>
          </w:p>
        </w:tc>
      </w:tr>
      <w:tr>
        <w:trPr>
          <w:trHeight w:val="314" w:hRule="atLeast"/>
        </w:trPr>
        <w:tc>
          <w:tcPr>
            <w:tcW w:w="3522" w:type="dxa"/>
          </w:tcPr>
          <w:p>
            <w:pPr>
              <w:pStyle w:val="TableParagraph"/>
              <w:spacing w:before="14"/>
              <w:ind w:left="753"/>
              <w:rPr>
                <w:sz w:val="24"/>
              </w:rPr>
            </w:pPr>
            <w:r>
              <w:rPr>
                <w:sz w:val="24"/>
              </w:rPr>
              <w:t>Total, Presupuesto</w:t>
            </w:r>
          </w:p>
        </w:tc>
        <w:tc>
          <w:tcPr>
            <w:tcW w:w="2261" w:type="dxa"/>
          </w:tcPr>
          <w:p>
            <w:pPr>
              <w:pStyle w:val="TableParagraph"/>
              <w:spacing w:before="14"/>
              <w:ind w:right="58"/>
              <w:jc w:val="right"/>
              <w:rPr>
                <w:b/>
                <w:sz w:val="24"/>
              </w:rPr>
            </w:pPr>
            <w:r>
              <w:rPr>
                <w:b/>
                <w:sz w:val="24"/>
              </w:rPr>
              <w:t>$ 35.352.683.268</w:t>
            </w:r>
          </w:p>
        </w:tc>
      </w:tr>
    </w:tbl>
    <w:p>
      <w:pPr>
        <w:pStyle w:val="BodyText"/>
        <w:rPr>
          <w:rFonts w:ascii="Times New Roman"/>
          <w:i/>
          <w:sz w:val="20"/>
        </w:rPr>
      </w:pPr>
    </w:p>
    <w:p>
      <w:pPr>
        <w:pStyle w:val="BodyText"/>
        <w:rPr>
          <w:rFonts w:ascii="Times New Roman"/>
          <w:i/>
          <w:sz w:val="20"/>
        </w:rPr>
      </w:pPr>
    </w:p>
    <w:p>
      <w:pPr>
        <w:pStyle w:val="BodyText"/>
        <w:spacing w:before="10"/>
        <w:rPr>
          <w:rFonts w:ascii="Times New Roman"/>
          <w:i/>
          <w:sz w:val="19"/>
        </w:rPr>
      </w:pPr>
    </w:p>
    <w:p>
      <w:pPr>
        <w:pStyle w:val="Heading1"/>
        <w:spacing w:before="89"/>
        <w:ind w:left="720"/>
      </w:pPr>
      <w:r>
        <w:rPr/>
        <w:t>Subsecretaría de Acceso a servicios de Justicia</w:t>
      </w:r>
    </w:p>
    <w:p>
      <w:pPr>
        <w:pStyle w:val="BodyText"/>
        <w:spacing w:before="1"/>
        <w:rPr>
          <w:b/>
          <w:sz w:val="32"/>
        </w:rPr>
      </w:pPr>
    </w:p>
    <w:p>
      <w:pPr>
        <w:pStyle w:val="BodyText"/>
        <w:ind w:left="232" w:right="1319"/>
        <w:jc w:val="both"/>
      </w:pPr>
      <w:r>
        <w:rPr/>
        <w:t>La Subsecretaría ha desarrollado acciones de socialización, sensibilización y concientiza- ción para prevenir la violencia contra la mujer en las diferentes comunas del Municipio de Santiago de Cali, esto como parte del fortalecimiento de la convivencia ciudadana y el ac- ceso a la justicia para los </w:t>
      </w:r>
      <w:r>
        <w:rPr>
          <w:sz w:val="22"/>
        </w:rPr>
        <w:t>caleños. </w:t>
      </w:r>
      <w:r>
        <w:rPr/>
        <w:t>El empoderamiento de derechos de las poblaciones obje- to, (NNA), madres y padres. Capacitación en las rutas de atención para los casos de vio- lencia intrafamiliar, abuso sexual, violencia contra la mujer, son parte de estas acciones.</w:t>
      </w:r>
    </w:p>
    <w:p>
      <w:pPr>
        <w:pStyle w:val="BodyText"/>
        <w:spacing w:before="1"/>
      </w:pPr>
    </w:p>
    <w:p>
      <w:pPr>
        <w:pStyle w:val="BodyText"/>
        <w:ind w:left="232" w:right="1319"/>
        <w:jc w:val="both"/>
      </w:pPr>
      <w:r>
        <w:rPr/>
        <w:t>Se impacta al Eje 1 Cali social y diversa, Programa Vida, familia y salud mental (padres, madres, cuidadores y cabeza de hogar, formados en promoción para la vida y prevención de factores de riesgo. Y también el Eje 3 Cali progresa en paz con seguridad y cultura ciu- dadana, Programa. No violencia contra la mujer (Personas vinculadas a la estrategia pre- vención de violencia contra la mujer e intervención social).</w:t>
      </w:r>
    </w:p>
    <w:p>
      <w:pPr>
        <w:pStyle w:val="BodyText"/>
      </w:pPr>
    </w:p>
    <w:p>
      <w:pPr>
        <w:pStyle w:val="BodyText"/>
        <w:ind w:left="232" w:right="1319"/>
        <w:jc w:val="both"/>
      </w:pPr>
      <w:r>
        <w:rPr/>
        <w:t>En razón de lo anterior, la Secretaria de Seguridad y Justicia, celebró un Contrato Interad- ministrativo para desarrollar este proyecto con LA FUNDACION UNIVERSIDAD DEL VA- LLE, cuyo objeto es "El desarrollo de una estrategia, que busca capacitar a las mujeres en temas de prevención de la violencia, procesos de sensibilización y conocimiento de la ruta de atención para salvaguardar sus derechos fundamentales y su grupo familiar en Santiago de Cali.</w:t>
      </w:r>
    </w:p>
    <w:p>
      <w:pPr>
        <w:pStyle w:val="BodyText"/>
        <w:spacing w:before="11"/>
        <w:rPr>
          <w:sz w:val="33"/>
        </w:rPr>
      </w:pPr>
    </w:p>
    <w:p>
      <w:pPr>
        <w:spacing w:before="0"/>
        <w:ind w:left="719" w:right="1814" w:firstLine="0"/>
        <w:jc w:val="center"/>
        <w:rPr>
          <w:rFonts w:ascii="Times New Roman" w:hAnsi="Times New Roman"/>
          <w:i/>
          <w:sz w:val="24"/>
        </w:rPr>
      </w:pPr>
      <w:r>
        <w:rPr>
          <w:rFonts w:ascii="Times New Roman" w:hAnsi="Times New Roman"/>
          <w:i/>
          <w:sz w:val="24"/>
        </w:rPr>
        <w:t>Tabla 54 Prevención de la Violencia Contra las Mujeres y Niñas en Santiago de Cali</w:t>
      </w:r>
    </w:p>
    <w:p>
      <w:pPr>
        <w:pStyle w:val="BodyText"/>
        <w:spacing w:before="1" w:after="1"/>
        <w:rPr>
          <w:rFonts w:ascii="Times New Roman"/>
          <w:i/>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6"/>
        <w:gridCol w:w="7180"/>
      </w:tblGrid>
      <w:tr>
        <w:trPr>
          <w:trHeight w:val="554" w:hRule="atLeast"/>
        </w:trPr>
        <w:tc>
          <w:tcPr>
            <w:tcW w:w="2386" w:type="dxa"/>
          </w:tcPr>
          <w:p>
            <w:pPr>
              <w:pStyle w:val="TableParagraph"/>
              <w:spacing w:line="274" w:lineRule="exact"/>
              <w:ind w:left="107"/>
              <w:rPr>
                <w:sz w:val="24"/>
              </w:rPr>
            </w:pPr>
            <w:r>
              <w:rPr>
                <w:sz w:val="24"/>
              </w:rPr>
              <w:t>Proyecto</w:t>
            </w:r>
          </w:p>
        </w:tc>
        <w:tc>
          <w:tcPr>
            <w:tcW w:w="7180" w:type="dxa"/>
          </w:tcPr>
          <w:p>
            <w:pPr>
              <w:pStyle w:val="TableParagraph"/>
              <w:spacing w:line="276" w:lineRule="exact" w:before="2"/>
              <w:ind w:left="107" w:right="92"/>
              <w:rPr>
                <w:sz w:val="24"/>
              </w:rPr>
            </w:pPr>
            <w:r>
              <w:rPr>
                <w:sz w:val="24"/>
              </w:rPr>
              <w:t>Prevención De La Violencia Contra Las Mujeres Y Niñas En San- tiago De Cali</w:t>
            </w:r>
          </w:p>
        </w:tc>
      </w:tr>
      <w:tr>
        <w:trPr>
          <w:trHeight w:val="827" w:hRule="atLeast"/>
        </w:trPr>
        <w:tc>
          <w:tcPr>
            <w:tcW w:w="2386" w:type="dxa"/>
          </w:tcPr>
          <w:p>
            <w:pPr>
              <w:pStyle w:val="TableParagraph"/>
              <w:ind w:left="107" w:right="434"/>
              <w:rPr>
                <w:sz w:val="24"/>
              </w:rPr>
            </w:pPr>
            <w:r>
              <w:rPr>
                <w:sz w:val="24"/>
              </w:rPr>
              <w:t>Personas benefi- ciadas</w:t>
            </w:r>
          </w:p>
        </w:tc>
        <w:tc>
          <w:tcPr>
            <w:tcW w:w="7180" w:type="dxa"/>
          </w:tcPr>
          <w:p>
            <w:pPr>
              <w:pStyle w:val="TableParagraph"/>
              <w:spacing w:line="271" w:lineRule="exact"/>
              <w:ind w:left="107"/>
              <w:rPr>
                <w:sz w:val="24"/>
              </w:rPr>
            </w:pPr>
            <w:r>
              <w:rPr>
                <w:sz w:val="24"/>
              </w:rPr>
              <w:t>Población Beneficiada:</w:t>
            </w:r>
          </w:p>
          <w:p>
            <w:pPr>
              <w:pStyle w:val="TableParagraph"/>
              <w:spacing w:line="270" w:lineRule="atLeast"/>
              <w:ind w:left="107" w:right="826"/>
              <w:rPr>
                <w:sz w:val="24"/>
              </w:rPr>
            </w:pPr>
            <w:r>
              <w:rPr>
                <w:sz w:val="24"/>
              </w:rPr>
              <w:t>Directa: 950 mujeres de las comunas: 7, 9, 13, 16 y la 20). Indirecta: Población de las 14 Comunas seleccionadas.</w:t>
            </w:r>
          </w:p>
        </w:tc>
      </w:tr>
      <w:tr>
        <w:trPr>
          <w:trHeight w:val="552" w:hRule="atLeast"/>
        </w:trPr>
        <w:tc>
          <w:tcPr>
            <w:tcW w:w="2386" w:type="dxa"/>
          </w:tcPr>
          <w:p>
            <w:pPr>
              <w:pStyle w:val="TableParagraph"/>
              <w:spacing w:line="276" w:lineRule="exact"/>
              <w:ind w:left="107" w:right="141"/>
              <w:rPr>
                <w:sz w:val="24"/>
              </w:rPr>
            </w:pPr>
            <w:r>
              <w:rPr>
                <w:sz w:val="24"/>
              </w:rPr>
              <w:t>Resultados Espera- dos</w:t>
            </w:r>
          </w:p>
        </w:tc>
        <w:tc>
          <w:tcPr>
            <w:tcW w:w="7180" w:type="dxa"/>
          </w:tcPr>
          <w:p>
            <w:pPr>
              <w:pStyle w:val="TableParagraph"/>
              <w:spacing w:line="276" w:lineRule="exact"/>
              <w:ind w:left="107" w:right="92"/>
              <w:rPr>
                <w:sz w:val="24"/>
              </w:rPr>
            </w:pPr>
            <w:r>
              <w:rPr>
                <w:sz w:val="24"/>
              </w:rPr>
              <w:t>Mujeres y niñas capacitadas en rutas de atención violencia con- tra la mujer, abuso sexual y violencia intrafamiliar.</w:t>
            </w:r>
          </w:p>
        </w:tc>
      </w:tr>
      <w:tr>
        <w:trPr>
          <w:trHeight w:val="275" w:hRule="atLeast"/>
        </w:trPr>
        <w:tc>
          <w:tcPr>
            <w:tcW w:w="2386" w:type="dxa"/>
          </w:tcPr>
          <w:p>
            <w:pPr>
              <w:pStyle w:val="TableParagraph"/>
              <w:spacing w:line="256" w:lineRule="exact"/>
              <w:ind w:left="107"/>
              <w:rPr>
                <w:sz w:val="24"/>
              </w:rPr>
            </w:pPr>
            <w:r>
              <w:rPr>
                <w:sz w:val="24"/>
              </w:rPr>
              <w:t>Inversión</w:t>
            </w:r>
          </w:p>
        </w:tc>
        <w:tc>
          <w:tcPr>
            <w:tcW w:w="7180" w:type="dxa"/>
          </w:tcPr>
          <w:p>
            <w:pPr>
              <w:pStyle w:val="TableParagraph"/>
              <w:spacing w:line="256" w:lineRule="exact"/>
              <w:ind w:left="107"/>
              <w:rPr>
                <w:sz w:val="24"/>
              </w:rPr>
            </w:pPr>
            <w:r>
              <w:rPr>
                <w:sz w:val="24"/>
              </w:rPr>
              <w:t>$295.518. 000.oo</w:t>
            </w:r>
          </w:p>
        </w:tc>
      </w:tr>
    </w:tbl>
    <w:p>
      <w:pPr>
        <w:spacing w:after="0" w:line="256" w:lineRule="exact"/>
        <w:rPr>
          <w:sz w:val="24"/>
        </w:rPr>
        <w:sectPr>
          <w:pgSz w:w="12240" w:h="15840"/>
          <w:pgMar w:header="0" w:footer="897" w:top="820" w:bottom="1160" w:left="900" w:right="0"/>
        </w:sectPr>
      </w:pPr>
    </w:p>
    <w:p>
      <w:pPr>
        <w:spacing w:before="72"/>
        <w:ind w:left="2021" w:right="0" w:firstLine="0"/>
        <w:jc w:val="left"/>
        <w:rPr>
          <w:rFonts w:ascii="Times New Roman" w:hAnsi="Times New Roman"/>
          <w:i/>
          <w:sz w:val="24"/>
        </w:rPr>
      </w:pPr>
      <w:r>
        <w:rPr>
          <w:rFonts w:ascii="Times New Roman" w:hAnsi="Times New Roman"/>
          <w:i/>
          <w:sz w:val="24"/>
        </w:rPr>
        <w:t>Tabla 6 Gestión implementación Comisaría de Familia 24 horas</w:t>
      </w:r>
    </w:p>
    <w:p>
      <w:pPr>
        <w:pStyle w:val="BodyText"/>
        <w:spacing w:before="2"/>
        <w:rPr>
          <w:rFonts w:ascii="Times New Roman"/>
          <w:i/>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7039"/>
      </w:tblGrid>
      <w:tr>
        <w:trPr>
          <w:trHeight w:val="304" w:hRule="atLeast"/>
        </w:trPr>
        <w:tc>
          <w:tcPr>
            <w:tcW w:w="2528" w:type="dxa"/>
          </w:tcPr>
          <w:p>
            <w:pPr>
              <w:pStyle w:val="TableParagraph"/>
              <w:spacing w:line="271" w:lineRule="exact"/>
              <w:ind w:left="107"/>
              <w:rPr>
                <w:sz w:val="24"/>
              </w:rPr>
            </w:pPr>
            <w:r>
              <w:rPr>
                <w:sz w:val="24"/>
              </w:rPr>
              <w:t>Programa o Proyecto</w:t>
            </w:r>
          </w:p>
        </w:tc>
        <w:tc>
          <w:tcPr>
            <w:tcW w:w="7039" w:type="dxa"/>
          </w:tcPr>
          <w:p>
            <w:pPr>
              <w:pStyle w:val="TableParagraph"/>
              <w:spacing w:line="271" w:lineRule="exact"/>
              <w:ind w:left="109"/>
              <w:rPr>
                <w:sz w:val="24"/>
              </w:rPr>
            </w:pPr>
            <w:r>
              <w:rPr>
                <w:sz w:val="24"/>
              </w:rPr>
              <w:t>Gestión implementación comisaría de familia 24 horas</w:t>
            </w:r>
          </w:p>
        </w:tc>
      </w:tr>
      <w:tr>
        <w:trPr>
          <w:trHeight w:val="552" w:hRule="atLeast"/>
        </w:trPr>
        <w:tc>
          <w:tcPr>
            <w:tcW w:w="2528" w:type="dxa"/>
          </w:tcPr>
          <w:p>
            <w:pPr>
              <w:pStyle w:val="TableParagraph"/>
              <w:spacing w:line="276" w:lineRule="exact"/>
              <w:ind w:left="107" w:right="269"/>
              <w:rPr>
                <w:sz w:val="24"/>
              </w:rPr>
            </w:pPr>
            <w:r>
              <w:rPr>
                <w:sz w:val="24"/>
              </w:rPr>
              <w:t>Personas beneficia- das</w:t>
            </w:r>
          </w:p>
        </w:tc>
        <w:tc>
          <w:tcPr>
            <w:tcW w:w="7039" w:type="dxa"/>
          </w:tcPr>
          <w:p>
            <w:pPr>
              <w:pStyle w:val="TableParagraph"/>
              <w:spacing w:line="272" w:lineRule="exact"/>
              <w:ind w:left="109"/>
              <w:rPr>
                <w:sz w:val="24"/>
              </w:rPr>
            </w:pPr>
            <w:r>
              <w:rPr>
                <w:sz w:val="24"/>
              </w:rPr>
              <w:t>Todo el Municipio de Santiago de Cali</w:t>
            </w:r>
          </w:p>
        </w:tc>
      </w:tr>
      <w:tr>
        <w:trPr>
          <w:trHeight w:val="275" w:hRule="atLeast"/>
        </w:trPr>
        <w:tc>
          <w:tcPr>
            <w:tcW w:w="2528" w:type="dxa"/>
          </w:tcPr>
          <w:p>
            <w:pPr>
              <w:pStyle w:val="TableParagraph"/>
              <w:spacing w:line="256" w:lineRule="exact"/>
              <w:ind w:left="107"/>
              <w:rPr>
                <w:sz w:val="24"/>
              </w:rPr>
            </w:pPr>
            <w:r>
              <w:rPr>
                <w:sz w:val="24"/>
              </w:rPr>
              <w:t>Donde</w:t>
            </w:r>
          </w:p>
        </w:tc>
        <w:tc>
          <w:tcPr>
            <w:tcW w:w="7039" w:type="dxa"/>
          </w:tcPr>
          <w:p>
            <w:pPr>
              <w:pStyle w:val="TableParagraph"/>
              <w:spacing w:line="256" w:lineRule="exact"/>
              <w:ind w:left="109"/>
              <w:rPr>
                <w:sz w:val="24"/>
              </w:rPr>
            </w:pPr>
            <w:r>
              <w:rPr>
                <w:sz w:val="24"/>
              </w:rPr>
              <w:t>Casa de Justicia Siloé</w:t>
            </w:r>
          </w:p>
        </w:tc>
      </w:tr>
      <w:tr>
        <w:trPr>
          <w:trHeight w:val="9252" w:hRule="atLeast"/>
        </w:trPr>
        <w:tc>
          <w:tcPr>
            <w:tcW w:w="2528" w:type="dxa"/>
          </w:tcPr>
          <w:p>
            <w:pPr>
              <w:pStyle w:val="TableParagraph"/>
              <w:spacing w:line="271" w:lineRule="exact"/>
              <w:ind w:left="107"/>
              <w:rPr>
                <w:sz w:val="24"/>
              </w:rPr>
            </w:pPr>
            <w:r>
              <w:rPr>
                <w:sz w:val="24"/>
              </w:rPr>
              <w:t>Acciones realizadas</w:t>
            </w:r>
          </w:p>
        </w:tc>
        <w:tc>
          <w:tcPr>
            <w:tcW w:w="7039" w:type="dxa"/>
          </w:tcPr>
          <w:p>
            <w:pPr>
              <w:pStyle w:val="TableParagraph"/>
              <w:ind w:left="109" w:right="90"/>
              <w:jc w:val="both"/>
              <w:rPr>
                <w:sz w:val="24"/>
              </w:rPr>
            </w:pPr>
            <w:r>
              <w:rPr>
                <w:sz w:val="24"/>
              </w:rPr>
              <w:t>Plan de seguimiento y gestión al subproceso de nombramiento de seis (6) comisarios de familia, en un trabajo articulado con la Subdirección Estratégica del Talento Humano, de la Dirección Administrativa de Desarrollo e Innovación Institucional del mu- nicipio, de los cuales cuatro (4) ya fueron nombrados y actual- mente se encuentran en el proceso administrativo de vincula- ción.</w:t>
            </w:r>
          </w:p>
          <w:p>
            <w:pPr>
              <w:pStyle w:val="TableParagraph"/>
              <w:spacing w:before="7"/>
              <w:rPr>
                <w:rFonts w:ascii="Times New Roman"/>
                <w:i/>
                <w:sz w:val="23"/>
              </w:rPr>
            </w:pPr>
          </w:p>
          <w:p>
            <w:pPr>
              <w:pStyle w:val="TableParagraph"/>
              <w:ind w:left="109" w:right="90"/>
              <w:jc w:val="both"/>
              <w:rPr>
                <w:sz w:val="24"/>
              </w:rPr>
            </w:pPr>
            <w:r>
              <w:rPr>
                <w:sz w:val="24"/>
              </w:rPr>
              <w:t>Subproceso que se viene surtiendo con personal no vinculada directamente a la administración, teniendo en cuenta que, reali- zados los estudios para la posibilidad de incorporar en dichos cargos al personal de carrera administrativa a través de un pro- ceso de selección interno de la Alcaldía de Cali, no se encontró los perfiles y requisitos del cargo para este personal, indicando que se deberá realizar la incorporación con personal externo.</w:t>
            </w:r>
          </w:p>
          <w:p>
            <w:pPr>
              <w:pStyle w:val="TableParagraph"/>
              <w:ind w:left="108"/>
              <w:rPr>
                <w:rFonts w:ascii="Times New Roman"/>
                <w:sz w:val="20"/>
              </w:rPr>
            </w:pPr>
            <w:r>
              <w:rPr>
                <w:rFonts w:ascii="Times New Roman"/>
                <w:sz w:val="20"/>
              </w:rPr>
              <w:drawing>
                <wp:inline distT="0" distB="0" distL="0" distR="0">
                  <wp:extent cx="4148166" cy="2870835"/>
                  <wp:effectExtent l="0" t="0" r="0" b="0"/>
                  <wp:docPr id="1" name="image9.jpeg"/>
                  <wp:cNvGraphicFramePr>
                    <a:graphicFrameLocks noChangeAspect="1"/>
                  </wp:cNvGraphicFramePr>
                  <a:graphic>
                    <a:graphicData uri="http://schemas.openxmlformats.org/drawingml/2006/picture">
                      <pic:pic>
                        <pic:nvPicPr>
                          <pic:cNvPr id="2" name="image9.jpeg"/>
                          <pic:cNvPicPr/>
                        </pic:nvPicPr>
                        <pic:blipFill>
                          <a:blip r:embed="rId14" cstate="print"/>
                          <a:stretch>
                            <a:fillRect/>
                          </a:stretch>
                        </pic:blipFill>
                        <pic:spPr>
                          <a:xfrm>
                            <a:off x="0" y="0"/>
                            <a:ext cx="4148166" cy="2870835"/>
                          </a:xfrm>
                          <a:prstGeom prst="rect">
                            <a:avLst/>
                          </a:prstGeom>
                        </pic:spPr>
                      </pic:pic>
                    </a:graphicData>
                  </a:graphic>
                </wp:inline>
              </w:drawing>
            </w:r>
            <w:r>
              <w:rPr>
                <w:rFonts w:ascii="Times New Roman"/>
                <w:sz w:val="20"/>
              </w:rPr>
            </w:r>
          </w:p>
          <w:p>
            <w:pPr>
              <w:pStyle w:val="TableParagraph"/>
              <w:rPr>
                <w:rFonts w:ascii="Times New Roman"/>
                <w:i/>
                <w:sz w:val="20"/>
              </w:rPr>
            </w:pPr>
          </w:p>
          <w:p>
            <w:pPr>
              <w:pStyle w:val="TableParagraph"/>
              <w:rPr>
                <w:rFonts w:ascii="Times New Roman"/>
                <w:i/>
                <w:sz w:val="20"/>
              </w:rPr>
            </w:pPr>
          </w:p>
        </w:tc>
      </w:tr>
      <w:tr>
        <w:trPr>
          <w:trHeight w:val="275" w:hRule="atLeast"/>
        </w:trPr>
        <w:tc>
          <w:tcPr>
            <w:tcW w:w="2528" w:type="dxa"/>
          </w:tcPr>
          <w:p>
            <w:pPr>
              <w:pStyle w:val="TableParagraph"/>
              <w:spacing w:line="256" w:lineRule="exact"/>
              <w:ind w:left="107"/>
              <w:rPr>
                <w:sz w:val="24"/>
              </w:rPr>
            </w:pPr>
            <w:r>
              <w:rPr>
                <w:sz w:val="24"/>
              </w:rPr>
              <w:t>Resultados</w:t>
            </w:r>
          </w:p>
        </w:tc>
        <w:tc>
          <w:tcPr>
            <w:tcW w:w="7039" w:type="dxa"/>
          </w:tcPr>
          <w:p>
            <w:pPr>
              <w:pStyle w:val="TableParagraph"/>
              <w:spacing w:line="256" w:lineRule="exact"/>
              <w:ind w:left="109"/>
              <w:rPr>
                <w:sz w:val="24"/>
              </w:rPr>
            </w:pPr>
            <w:r>
              <w:rPr>
                <w:sz w:val="24"/>
              </w:rPr>
              <w:t>Implementación servicio 24 horas comisaría de familia</w:t>
            </w:r>
          </w:p>
        </w:tc>
      </w:tr>
      <w:tr>
        <w:trPr>
          <w:trHeight w:val="278" w:hRule="atLeast"/>
        </w:trPr>
        <w:tc>
          <w:tcPr>
            <w:tcW w:w="2528" w:type="dxa"/>
          </w:tcPr>
          <w:p>
            <w:pPr>
              <w:pStyle w:val="TableParagraph"/>
              <w:spacing w:line="259" w:lineRule="exact"/>
              <w:ind w:left="107"/>
              <w:rPr>
                <w:sz w:val="24"/>
              </w:rPr>
            </w:pPr>
            <w:r>
              <w:rPr>
                <w:sz w:val="24"/>
              </w:rPr>
              <w:t>Inversión</w:t>
            </w:r>
          </w:p>
        </w:tc>
        <w:tc>
          <w:tcPr>
            <w:tcW w:w="7039" w:type="dxa"/>
          </w:tcPr>
          <w:p>
            <w:pPr>
              <w:pStyle w:val="TableParagraph"/>
              <w:spacing w:line="259" w:lineRule="exact"/>
              <w:ind w:left="109"/>
              <w:rPr>
                <w:sz w:val="24"/>
              </w:rPr>
            </w:pPr>
            <w:r>
              <w:rPr>
                <w:sz w:val="24"/>
              </w:rPr>
              <w:t>Recursos de planta</w:t>
            </w:r>
          </w:p>
        </w:tc>
      </w:tr>
    </w:tbl>
    <w:p>
      <w:pPr>
        <w:pStyle w:val="BodyText"/>
        <w:spacing w:before="7"/>
        <w:rPr>
          <w:rFonts w:ascii="Times New Roman"/>
          <w:i/>
          <w:sz w:val="23"/>
        </w:rPr>
      </w:pPr>
    </w:p>
    <w:p>
      <w:pPr>
        <w:pStyle w:val="BodyText"/>
        <w:ind w:left="232" w:right="1331"/>
        <w:jc w:val="both"/>
      </w:pPr>
      <w:r>
        <w:rPr/>
        <w:t>El acceso a los servicios de justicia mediante la atención de los casos durante los fines de semana y horarios nocturnos no hábiles impacta positivamente a la seguridad ciudadana.</w:t>
      </w:r>
    </w:p>
    <w:p>
      <w:pPr>
        <w:pStyle w:val="BodyText"/>
      </w:pPr>
    </w:p>
    <w:p>
      <w:pPr>
        <w:pStyle w:val="BodyText"/>
        <w:ind w:left="232" w:right="1319"/>
        <w:jc w:val="both"/>
      </w:pPr>
      <w:r>
        <w:rPr/>
        <w:t>Con este proceso se impacta el Eje 3 Cali progresa en paz con seguridad y cultura ciuda- dana, Programa. Servicios de justicia y resolución de conflictos. (comisaria 24 horas para la atención a la violencia)</w:t>
      </w:r>
    </w:p>
    <w:p>
      <w:pPr>
        <w:spacing w:after="0"/>
        <w:jc w:val="both"/>
        <w:sectPr>
          <w:pgSz w:w="12240" w:h="15840"/>
          <w:pgMar w:header="0" w:footer="897" w:top="740" w:bottom="1160" w:left="900" w:right="0"/>
        </w:sectPr>
      </w:pPr>
    </w:p>
    <w:p>
      <w:pPr>
        <w:pStyle w:val="BodyText"/>
        <w:spacing w:before="72"/>
        <w:ind w:left="232" w:right="1322"/>
        <w:jc w:val="both"/>
      </w:pPr>
      <w:r>
        <w:rPr/>
        <w:t>Se mejora la seguridad ciudadana con acceso a los servicios de justicia a las mujeres víc- timas de violencias.</w:t>
      </w:r>
    </w:p>
    <w:p>
      <w:pPr>
        <w:pStyle w:val="BodyText"/>
      </w:pPr>
    </w:p>
    <w:p>
      <w:pPr>
        <w:pStyle w:val="BodyText"/>
        <w:spacing w:before="1"/>
        <w:ind w:left="232" w:right="1319"/>
        <w:jc w:val="both"/>
      </w:pPr>
      <w:r>
        <w:rPr/>
        <w:t>Con este proceso se impacta el Eje 3 Cali progresa en paz con seguridad y cultura ciuda- dana, Programa. Servicios de justicia y resolución de conflictos. (comisaria 24 horas para la atención a la violencia)</w:t>
      </w:r>
    </w:p>
    <w:p>
      <w:pPr>
        <w:pStyle w:val="BodyText"/>
        <w:spacing w:before="1"/>
        <w:rPr>
          <w:sz w:val="34"/>
        </w:rPr>
      </w:pPr>
    </w:p>
    <w:p>
      <w:pPr>
        <w:spacing w:before="0"/>
        <w:ind w:left="2002" w:right="0" w:firstLine="0"/>
        <w:jc w:val="left"/>
        <w:rPr>
          <w:rFonts w:ascii="Times New Roman" w:hAnsi="Times New Roman"/>
          <w:i/>
          <w:sz w:val="24"/>
        </w:rPr>
      </w:pPr>
      <w:r>
        <w:rPr>
          <w:rFonts w:ascii="Times New Roman" w:hAnsi="Times New Roman"/>
          <w:i/>
          <w:sz w:val="24"/>
        </w:rPr>
        <w:t>Tabla 7 Implementación estrategia de prevención del feminicidio</w:t>
      </w:r>
    </w:p>
    <w:p>
      <w:pPr>
        <w:pStyle w:val="BodyText"/>
        <w:spacing w:before="1" w:after="1"/>
        <w:rPr>
          <w:rFonts w:ascii="Times New Roman"/>
          <w:i/>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7039"/>
      </w:tblGrid>
      <w:tr>
        <w:trPr>
          <w:trHeight w:val="304" w:hRule="atLeast"/>
        </w:trPr>
        <w:tc>
          <w:tcPr>
            <w:tcW w:w="2528" w:type="dxa"/>
          </w:tcPr>
          <w:p>
            <w:pPr>
              <w:pStyle w:val="TableParagraph"/>
              <w:spacing w:line="271" w:lineRule="exact"/>
              <w:ind w:left="107"/>
              <w:rPr>
                <w:sz w:val="24"/>
              </w:rPr>
            </w:pPr>
            <w:r>
              <w:rPr>
                <w:sz w:val="24"/>
              </w:rPr>
              <w:t>Programa o Proyecto</w:t>
            </w:r>
          </w:p>
        </w:tc>
        <w:tc>
          <w:tcPr>
            <w:tcW w:w="7039" w:type="dxa"/>
          </w:tcPr>
          <w:p>
            <w:pPr>
              <w:pStyle w:val="TableParagraph"/>
              <w:spacing w:line="271" w:lineRule="exact"/>
              <w:ind w:left="109"/>
              <w:rPr>
                <w:sz w:val="24"/>
              </w:rPr>
            </w:pPr>
            <w:r>
              <w:rPr>
                <w:sz w:val="24"/>
              </w:rPr>
              <w:t>Implementación estrategia prevención del feminicidio</w:t>
            </w:r>
          </w:p>
        </w:tc>
      </w:tr>
      <w:tr>
        <w:trPr>
          <w:trHeight w:val="551" w:hRule="atLeast"/>
        </w:trPr>
        <w:tc>
          <w:tcPr>
            <w:tcW w:w="2528" w:type="dxa"/>
          </w:tcPr>
          <w:p>
            <w:pPr>
              <w:pStyle w:val="TableParagraph"/>
              <w:spacing w:line="276" w:lineRule="exact"/>
              <w:ind w:left="107" w:right="269"/>
              <w:rPr>
                <w:sz w:val="24"/>
              </w:rPr>
            </w:pPr>
            <w:r>
              <w:rPr>
                <w:sz w:val="24"/>
              </w:rPr>
              <w:t>Personas beneficia- das</w:t>
            </w:r>
          </w:p>
        </w:tc>
        <w:tc>
          <w:tcPr>
            <w:tcW w:w="7039" w:type="dxa"/>
          </w:tcPr>
          <w:p>
            <w:pPr>
              <w:pStyle w:val="TableParagraph"/>
              <w:spacing w:line="271" w:lineRule="exact"/>
              <w:ind w:left="109"/>
              <w:rPr>
                <w:sz w:val="24"/>
              </w:rPr>
            </w:pPr>
            <w:r>
              <w:rPr>
                <w:sz w:val="24"/>
              </w:rPr>
              <w:t>Todo el municipio de Cali</w:t>
            </w:r>
          </w:p>
        </w:tc>
      </w:tr>
      <w:tr>
        <w:trPr>
          <w:trHeight w:val="275" w:hRule="atLeast"/>
        </w:trPr>
        <w:tc>
          <w:tcPr>
            <w:tcW w:w="2528" w:type="dxa"/>
          </w:tcPr>
          <w:p>
            <w:pPr>
              <w:pStyle w:val="TableParagraph"/>
              <w:spacing w:line="255" w:lineRule="exact"/>
              <w:ind w:left="107"/>
              <w:rPr>
                <w:sz w:val="24"/>
              </w:rPr>
            </w:pPr>
            <w:r>
              <w:rPr>
                <w:sz w:val="24"/>
              </w:rPr>
              <w:t>Donde</w:t>
            </w:r>
          </w:p>
        </w:tc>
        <w:tc>
          <w:tcPr>
            <w:tcW w:w="7039" w:type="dxa"/>
          </w:tcPr>
          <w:p>
            <w:pPr>
              <w:pStyle w:val="TableParagraph"/>
              <w:spacing w:line="255" w:lineRule="exact"/>
              <w:ind w:left="109"/>
              <w:rPr>
                <w:sz w:val="24"/>
              </w:rPr>
            </w:pPr>
            <w:r>
              <w:rPr>
                <w:sz w:val="24"/>
              </w:rPr>
              <w:t>Secretaría de Seguridad y Justicia</w:t>
            </w:r>
          </w:p>
        </w:tc>
      </w:tr>
      <w:tr>
        <w:trPr>
          <w:trHeight w:val="8070" w:hRule="atLeast"/>
        </w:trPr>
        <w:tc>
          <w:tcPr>
            <w:tcW w:w="2528" w:type="dxa"/>
          </w:tcPr>
          <w:p>
            <w:pPr>
              <w:pStyle w:val="TableParagraph"/>
              <w:spacing w:line="271" w:lineRule="exact"/>
              <w:ind w:left="107"/>
              <w:rPr>
                <w:sz w:val="24"/>
              </w:rPr>
            </w:pPr>
            <w:r>
              <w:rPr>
                <w:sz w:val="24"/>
              </w:rPr>
              <w:t>Acciones realizadas</w:t>
            </w:r>
          </w:p>
        </w:tc>
        <w:tc>
          <w:tcPr>
            <w:tcW w:w="7039" w:type="dxa"/>
          </w:tcPr>
          <w:p>
            <w:pPr>
              <w:pStyle w:val="TableParagraph"/>
              <w:ind w:left="109" w:right="95"/>
              <w:jc w:val="both"/>
              <w:rPr>
                <w:sz w:val="24"/>
              </w:rPr>
            </w:pPr>
            <w:r>
              <w:rPr>
                <w:sz w:val="24"/>
              </w:rPr>
              <w:t>Se diseñó una ruta de protección vinculada a la línea nacional 155, para mujeres que evidencien un riesgo inminente de sufrir feminicidio. Dicha ruta consiste en una medida de protección transitoria en la cual, la Secretaría a través de la Fundación Alférez Real bajo el contrato de prestación de Servicios No. 4161.010.26.1.1215 de 2018 brindará acogida no solo a las mujeres en riesgo, sino que también acogerá a sus hijos menores de edad, les brindará transporte y alimentación mientras se mitiga el riesgo. En este proceso se ha venido capacitando a los Comisarios de Familia, los Coordinadores de las Casas de Justicia y todos los equipos interdisciplinarios de las comisarías, inspecciones y casas de Justicia con el fin de que puedan brindar la información a la comunidad frente al tema.</w:t>
            </w:r>
          </w:p>
          <w:p>
            <w:pPr>
              <w:pStyle w:val="TableParagraph"/>
              <w:ind w:left="109"/>
              <w:rPr>
                <w:sz w:val="24"/>
              </w:rPr>
            </w:pPr>
            <w:r>
              <w:rPr>
                <w:sz w:val="24"/>
              </w:rPr>
              <w:t>Recursos:</w:t>
            </w:r>
          </w:p>
          <w:p>
            <w:pPr>
              <w:pStyle w:val="TableParagraph"/>
              <w:numPr>
                <w:ilvl w:val="0"/>
                <w:numId w:val="1"/>
              </w:numPr>
              <w:tabs>
                <w:tab w:pos="1190" w:val="left" w:leader="none"/>
                <w:tab w:pos="1191" w:val="left" w:leader="none"/>
              </w:tabs>
              <w:spacing w:line="240" w:lineRule="auto" w:before="0" w:after="0"/>
              <w:ind w:left="1190" w:right="209" w:hanging="360"/>
              <w:jc w:val="left"/>
              <w:rPr>
                <w:sz w:val="24"/>
              </w:rPr>
            </w:pPr>
            <w:r>
              <w:rPr>
                <w:sz w:val="24"/>
              </w:rPr>
              <w:t>Equipo de Acción de Emergencia de la Secretaría</w:t>
            </w:r>
            <w:r>
              <w:rPr>
                <w:spacing w:val="-34"/>
                <w:sz w:val="24"/>
              </w:rPr>
              <w:t> </w:t>
            </w:r>
            <w:r>
              <w:rPr>
                <w:sz w:val="24"/>
              </w:rPr>
              <w:t>de Seguridad y</w:t>
            </w:r>
            <w:r>
              <w:rPr>
                <w:spacing w:val="-3"/>
                <w:sz w:val="24"/>
              </w:rPr>
              <w:t> </w:t>
            </w:r>
            <w:r>
              <w:rPr>
                <w:sz w:val="24"/>
              </w:rPr>
              <w:t>Justicia.</w:t>
            </w:r>
          </w:p>
          <w:p>
            <w:pPr>
              <w:pStyle w:val="TableParagraph"/>
              <w:numPr>
                <w:ilvl w:val="0"/>
                <w:numId w:val="1"/>
              </w:numPr>
              <w:tabs>
                <w:tab w:pos="1190" w:val="left" w:leader="none"/>
                <w:tab w:pos="1191" w:val="left" w:leader="none"/>
              </w:tabs>
              <w:spacing w:line="240" w:lineRule="auto" w:before="0" w:after="0"/>
              <w:ind w:left="1190" w:right="597" w:hanging="360"/>
              <w:jc w:val="left"/>
              <w:rPr>
                <w:sz w:val="24"/>
              </w:rPr>
            </w:pPr>
            <w:r>
              <w:rPr>
                <w:sz w:val="24"/>
              </w:rPr>
              <w:t>Operador de Prestación del Servicio de Hogar</w:t>
            </w:r>
            <w:r>
              <w:rPr>
                <w:spacing w:val="-22"/>
                <w:sz w:val="24"/>
              </w:rPr>
              <w:t> </w:t>
            </w:r>
            <w:r>
              <w:rPr>
                <w:sz w:val="24"/>
              </w:rPr>
              <w:t>de Acogida (Medida de protección</w:t>
            </w:r>
            <w:r>
              <w:rPr>
                <w:spacing w:val="-6"/>
                <w:sz w:val="24"/>
              </w:rPr>
              <w:t> </w:t>
            </w:r>
            <w:r>
              <w:rPr>
                <w:sz w:val="24"/>
              </w:rPr>
              <w:t>transitoria).</w:t>
            </w:r>
          </w:p>
          <w:p>
            <w:pPr>
              <w:pStyle w:val="TableParagraph"/>
              <w:numPr>
                <w:ilvl w:val="0"/>
                <w:numId w:val="1"/>
              </w:numPr>
              <w:tabs>
                <w:tab w:pos="1190" w:val="left" w:leader="none"/>
                <w:tab w:pos="1191" w:val="left" w:leader="none"/>
              </w:tabs>
              <w:spacing w:line="237" w:lineRule="auto" w:before="0" w:after="0"/>
              <w:ind w:left="1190" w:right="177" w:hanging="360"/>
              <w:jc w:val="left"/>
              <w:rPr>
                <w:sz w:val="24"/>
              </w:rPr>
            </w:pPr>
            <w:r>
              <w:rPr>
                <w:sz w:val="24"/>
              </w:rPr>
              <w:t>Convenio con La Policía – Patrulla </w:t>
            </w:r>
            <w:r>
              <w:rPr>
                <w:spacing w:val="-4"/>
                <w:sz w:val="24"/>
              </w:rPr>
              <w:t>EMFAG </w:t>
            </w:r>
            <w:r>
              <w:rPr>
                <w:sz w:val="24"/>
              </w:rPr>
              <w:t>(Estrate- gia Integral de Protección a la </w:t>
            </w:r>
            <w:r>
              <w:rPr>
                <w:spacing w:val="-3"/>
                <w:sz w:val="24"/>
              </w:rPr>
              <w:t>Mujer, </w:t>
            </w:r>
            <w:r>
              <w:rPr>
                <w:sz w:val="24"/>
              </w:rPr>
              <w:t>Familia y Géne- ro) – Línea</w:t>
            </w:r>
            <w:r>
              <w:rPr>
                <w:spacing w:val="-2"/>
                <w:sz w:val="24"/>
              </w:rPr>
              <w:t> </w:t>
            </w:r>
            <w:r>
              <w:rPr>
                <w:sz w:val="24"/>
              </w:rPr>
              <w:t>155.</w:t>
            </w:r>
          </w:p>
          <w:p>
            <w:pPr>
              <w:pStyle w:val="TableParagraph"/>
              <w:numPr>
                <w:ilvl w:val="0"/>
                <w:numId w:val="1"/>
              </w:numPr>
              <w:tabs>
                <w:tab w:pos="1190" w:val="left" w:leader="none"/>
                <w:tab w:pos="1191" w:val="left" w:leader="none"/>
              </w:tabs>
              <w:spacing w:line="240" w:lineRule="auto" w:before="0" w:after="0"/>
              <w:ind w:left="1190" w:right="94" w:hanging="360"/>
              <w:jc w:val="left"/>
              <w:rPr>
                <w:sz w:val="24"/>
              </w:rPr>
            </w:pPr>
            <w:r>
              <w:rPr>
                <w:sz w:val="24"/>
              </w:rPr>
              <w:t>Convenio con la Secretaría de Gobierno de Bogotá para Asesoría</w:t>
            </w:r>
            <w:r>
              <w:rPr>
                <w:spacing w:val="-3"/>
                <w:sz w:val="24"/>
              </w:rPr>
              <w:t> </w:t>
            </w:r>
            <w:r>
              <w:rPr>
                <w:sz w:val="24"/>
              </w:rPr>
              <w:t>Técnica.</w:t>
            </w:r>
          </w:p>
          <w:p>
            <w:pPr>
              <w:pStyle w:val="TableParagraph"/>
              <w:ind w:left="109" w:right="100"/>
              <w:jc w:val="both"/>
              <w:rPr>
                <w:sz w:val="24"/>
              </w:rPr>
            </w:pPr>
            <w:r>
              <w:rPr>
                <w:sz w:val="24"/>
              </w:rPr>
              <w:t>Para ello, se ha diseñado un modelo de atención cuyo objetivo es agilizar las medidas de prevención y protección cuanto exista un riesgo inminente que atente contra la vida e integridad de una</w:t>
            </w:r>
            <w:r>
              <w:rPr>
                <w:spacing w:val="-3"/>
                <w:sz w:val="24"/>
              </w:rPr>
              <w:t> mujer.</w:t>
            </w:r>
          </w:p>
        </w:tc>
      </w:tr>
      <w:tr>
        <w:trPr>
          <w:trHeight w:val="551" w:hRule="atLeast"/>
        </w:trPr>
        <w:tc>
          <w:tcPr>
            <w:tcW w:w="2528" w:type="dxa"/>
          </w:tcPr>
          <w:p>
            <w:pPr>
              <w:pStyle w:val="TableParagraph"/>
              <w:spacing w:line="271" w:lineRule="exact"/>
              <w:ind w:left="107"/>
              <w:rPr>
                <w:sz w:val="24"/>
              </w:rPr>
            </w:pPr>
            <w:r>
              <w:rPr>
                <w:sz w:val="24"/>
              </w:rPr>
              <w:t>Resultados</w:t>
            </w:r>
          </w:p>
        </w:tc>
        <w:tc>
          <w:tcPr>
            <w:tcW w:w="7039" w:type="dxa"/>
          </w:tcPr>
          <w:p>
            <w:pPr>
              <w:pStyle w:val="TableParagraph"/>
              <w:spacing w:line="271" w:lineRule="exact"/>
              <w:ind w:left="109"/>
              <w:rPr>
                <w:sz w:val="24"/>
              </w:rPr>
            </w:pPr>
            <w:r>
              <w:rPr>
                <w:sz w:val="24"/>
              </w:rPr>
              <w:t>Articulación interinstitucional para el seguimiento a los casos de</w:t>
            </w:r>
          </w:p>
          <w:p>
            <w:pPr>
              <w:pStyle w:val="TableParagraph"/>
              <w:spacing w:line="260" w:lineRule="exact"/>
              <w:ind w:left="109"/>
              <w:rPr>
                <w:sz w:val="24"/>
              </w:rPr>
            </w:pPr>
            <w:r>
              <w:rPr>
                <w:sz w:val="24"/>
              </w:rPr>
              <w:t>riesgo inminente de feminicidio</w:t>
            </w:r>
          </w:p>
        </w:tc>
      </w:tr>
    </w:tbl>
    <w:p>
      <w:pPr>
        <w:pStyle w:val="BodyText"/>
        <w:spacing w:before="7"/>
        <w:rPr>
          <w:rFonts w:ascii="Times New Roman"/>
          <w:i/>
          <w:sz w:val="23"/>
        </w:rPr>
      </w:pPr>
    </w:p>
    <w:p>
      <w:pPr>
        <w:pStyle w:val="BodyText"/>
        <w:ind w:left="232" w:right="1322"/>
        <w:jc w:val="both"/>
      </w:pPr>
      <w:r>
        <w:rPr/>
        <w:t>Se mejora la seguridad ciudadana con acceso a los servicios de justicia a las mujeres víc- timas de violencias.</w:t>
      </w:r>
    </w:p>
    <w:p>
      <w:pPr>
        <w:spacing w:after="0"/>
        <w:jc w:val="both"/>
        <w:sectPr>
          <w:pgSz w:w="12240" w:h="15840"/>
          <w:pgMar w:header="0" w:footer="897" w:top="1020" w:bottom="1160" w:left="900" w:right="0"/>
        </w:sectPr>
      </w:pPr>
    </w:p>
    <w:p>
      <w:pPr>
        <w:pStyle w:val="BodyText"/>
        <w:spacing w:before="72"/>
        <w:ind w:left="232" w:right="1319"/>
        <w:jc w:val="both"/>
      </w:pPr>
      <w:r>
        <w:rPr/>
        <w:t>Con este proceso se impacta el Eje 3 Cali progresa en paz con seguridad y cultura ciuda- dana, Programa. Servicios de justicia y resolución de conflictos. (comisaria 24 horas para la atención a la violencia).</w:t>
      </w:r>
    </w:p>
    <w:p>
      <w:pPr>
        <w:pStyle w:val="BodyText"/>
        <w:spacing w:before="3"/>
        <w:rPr>
          <w:sz w:val="34"/>
        </w:rPr>
      </w:pPr>
    </w:p>
    <w:p>
      <w:pPr>
        <w:spacing w:before="0"/>
        <w:ind w:left="941" w:right="0" w:firstLine="0"/>
        <w:jc w:val="left"/>
        <w:rPr>
          <w:i/>
          <w:sz w:val="24"/>
        </w:rPr>
      </w:pPr>
      <w:r>
        <w:rPr>
          <w:i/>
          <w:sz w:val="24"/>
        </w:rPr>
        <w:t>Jornadas de Conciliación Casas de Justicia</w:t>
      </w:r>
    </w:p>
    <w:p>
      <w:pPr>
        <w:pStyle w:val="BodyText"/>
        <w:spacing w:before="8"/>
        <w:rPr>
          <w:i/>
          <w:sz w:val="34"/>
        </w:rPr>
      </w:pPr>
    </w:p>
    <w:p>
      <w:pPr>
        <w:pStyle w:val="BodyText"/>
        <w:ind w:left="232" w:right="1323"/>
        <w:jc w:val="both"/>
      </w:pPr>
      <w:r>
        <w:rPr/>
        <w:t>Las jornadas de conciliación contribuyen a mejorar a la seguridad ciudadana, en la medida de que cuando el ciudadano soluciona sus problemas por sí mismo, se evita la escala a conflictos mayores, como que terminen esos problemas en riñas, homicidios, lesiones per- sonales, hurto.</w:t>
      </w:r>
    </w:p>
    <w:p>
      <w:pPr>
        <w:pStyle w:val="BodyText"/>
      </w:pPr>
    </w:p>
    <w:p>
      <w:pPr>
        <w:pStyle w:val="BodyText"/>
        <w:ind w:left="232" w:right="1319"/>
        <w:jc w:val="both"/>
      </w:pPr>
      <w:r>
        <w:rPr/>
        <w:t>Impacta con las metas del plan de desarrollo positivamente, ya que en el eje 3 Cali progre- sa en paz, con seguridad y cultura ciudadana, con el programa de servicios de justicia y resolución de conflictos se ve claramente como a través de las jornadas de conciliación se garantiza el acceso a la justicia sino también como se promueve una convivencia pacífica en tres los ciudadanos y una cultura de paz donde cada ciudadano puede gozar efectiva- mente de sus derechos fundamentales.</w:t>
      </w:r>
    </w:p>
    <w:p>
      <w:pPr>
        <w:pStyle w:val="BodyText"/>
        <w:spacing w:before="9"/>
        <w:rPr>
          <w:sz w:val="23"/>
        </w:rPr>
      </w:pPr>
    </w:p>
    <w:p>
      <w:pPr>
        <w:pStyle w:val="Heading1"/>
      </w:pPr>
      <w:r>
        <w:rPr/>
        <w:t>Subsecretaría de la Política de Seguridad</w:t>
      </w:r>
    </w:p>
    <w:p>
      <w:pPr>
        <w:pStyle w:val="BodyText"/>
        <w:spacing w:before="278"/>
        <w:ind w:left="232" w:right="1319"/>
        <w:jc w:val="both"/>
      </w:pPr>
      <w:r>
        <w:rPr/>
        <w:t>El observatorio de seguridad se encargó de monitorear y analizar la información sobre ho- micidios, feminicidios, hurtos y narcóticos, con esta información la Secretaría define accio- nes y planes de intervención con todos los organismos de seguridad. Adicionalmente, el Observatorio se encarga de realizar seguimiento a zonas críticas de delitos, articular con la academia y centros de investigación.</w:t>
      </w:r>
    </w:p>
    <w:p>
      <w:pPr>
        <w:pStyle w:val="BodyText"/>
        <w:spacing w:before="2"/>
        <w:rPr>
          <w:sz w:val="34"/>
        </w:rPr>
      </w:pPr>
    </w:p>
    <w:p>
      <w:pPr>
        <w:spacing w:before="0"/>
        <w:ind w:left="717" w:right="1814" w:firstLine="0"/>
        <w:jc w:val="center"/>
        <w:rPr>
          <w:rFonts w:ascii="Times New Roman" w:hAnsi="Times New Roman"/>
          <w:i/>
          <w:sz w:val="24"/>
        </w:rPr>
      </w:pPr>
      <w:r>
        <w:rPr>
          <w:rFonts w:ascii="Times New Roman" w:hAnsi="Times New Roman"/>
          <w:i/>
          <w:sz w:val="24"/>
        </w:rPr>
        <w:t>Tabla 8 Prevención social de la violencia Domingo Seguro</w:t>
      </w:r>
    </w:p>
    <w:p>
      <w:pPr>
        <w:pStyle w:val="BodyText"/>
        <w:spacing w:before="2"/>
        <w:rPr>
          <w:rFonts w:ascii="Times New Roman"/>
          <w:i/>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5244" w:hRule="atLeast"/>
        </w:trPr>
        <w:tc>
          <w:tcPr>
            <w:tcW w:w="2660" w:type="dxa"/>
          </w:tcPr>
          <w:p>
            <w:pPr>
              <w:pStyle w:val="TableParagraph"/>
              <w:spacing w:line="271" w:lineRule="exact"/>
              <w:ind w:left="107"/>
              <w:rPr>
                <w:sz w:val="24"/>
              </w:rPr>
            </w:pPr>
            <w:r>
              <w:rPr>
                <w:sz w:val="24"/>
              </w:rPr>
              <w:t>Programa o Proyecto</w:t>
            </w:r>
          </w:p>
        </w:tc>
        <w:tc>
          <w:tcPr>
            <w:tcW w:w="6907" w:type="dxa"/>
          </w:tcPr>
          <w:p>
            <w:pPr>
              <w:pStyle w:val="TableParagraph"/>
              <w:ind w:left="109" w:right="137"/>
              <w:jc w:val="both"/>
              <w:rPr>
                <w:sz w:val="24"/>
              </w:rPr>
            </w:pPr>
            <w:r>
              <w:rPr>
                <w:sz w:val="24"/>
              </w:rPr>
              <w:t>El programa DOMINGO SEGURO, hace parte de la estrategia de prevención comunitaria de la violencia, que tiene como ob- jetivo modificar las relaciones y condiciones sociales al interior de la comunidad.</w:t>
            </w:r>
          </w:p>
          <w:p>
            <w:pPr>
              <w:pStyle w:val="TableParagraph"/>
              <w:spacing w:before="7"/>
              <w:rPr>
                <w:rFonts w:ascii="Times New Roman"/>
                <w:i/>
                <w:sz w:val="23"/>
              </w:rPr>
            </w:pPr>
          </w:p>
          <w:p>
            <w:pPr>
              <w:pStyle w:val="TableParagraph"/>
              <w:ind w:left="109"/>
              <w:jc w:val="both"/>
              <w:rPr>
                <w:b/>
                <w:sz w:val="24"/>
              </w:rPr>
            </w:pPr>
            <w:r>
              <w:rPr>
                <w:b/>
                <w:sz w:val="24"/>
              </w:rPr>
              <w:t>Objetivo general</w:t>
            </w:r>
          </w:p>
          <w:p>
            <w:pPr>
              <w:pStyle w:val="TableParagraph"/>
              <w:ind w:left="109" w:right="166"/>
              <w:jc w:val="both"/>
              <w:rPr>
                <w:sz w:val="24"/>
              </w:rPr>
            </w:pPr>
            <w:r>
              <w:rPr>
                <w:sz w:val="24"/>
              </w:rPr>
              <w:t>La estrategia tiene como objetivo disminuir los casos de homi- cidios en puntos críticos de la ciudad.</w:t>
            </w:r>
          </w:p>
          <w:p>
            <w:pPr>
              <w:pStyle w:val="TableParagraph"/>
              <w:rPr>
                <w:rFonts w:ascii="Times New Roman"/>
                <w:i/>
                <w:sz w:val="24"/>
              </w:rPr>
            </w:pPr>
          </w:p>
          <w:p>
            <w:pPr>
              <w:pStyle w:val="TableParagraph"/>
              <w:ind w:left="109"/>
              <w:jc w:val="both"/>
              <w:rPr>
                <w:b/>
                <w:sz w:val="24"/>
              </w:rPr>
            </w:pPr>
            <w:r>
              <w:rPr>
                <w:b/>
                <w:sz w:val="24"/>
              </w:rPr>
              <w:t>Objetivo específicos</w:t>
            </w:r>
          </w:p>
          <w:p>
            <w:pPr>
              <w:pStyle w:val="TableParagraph"/>
              <w:ind w:left="109" w:right="449"/>
              <w:jc w:val="both"/>
              <w:rPr>
                <w:sz w:val="24"/>
              </w:rPr>
            </w:pPr>
            <w:r>
              <w:rPr>
                <w:sz w:val="24"/>
              </w:rPr>
              <w:t>•Generar espacios culturales, lúdicos y pedagógicos en los barrios donde ocurren el mayor número de homicidios de la ciudad.</w:t>
            </w:r>
          </w:p>
          <w:p>
            <w:pPr>
              <w:pStyle w:val="TableParagraph"/>
              <w:spacing w:before="1"/>
              <w:ind w:left="109" w:right="427"/>
              <w:jc w:val="both"/>
              <w:rPr>
                <w:sz w:val="24"/>
              </w:rPr>
            </w:pPr>
            <w:r>
              <w:rPr>
                <w:sz w:val="24"/>
              </w:rPr>
              <w:t>•Resignificar los espacios públicos priorizados que han sido afectados por la violencia.</w:t>
            </w:r>
          </w:p>
          <w:p>
            <w:pPr>
              <w:pStyle w:val="TableParagraph"/>
              <w:ind w:left="109" w:right="373"/>
              <w:jc w:val="both"/>
              <w:rPr>
                <w:sz w:val="24"/>
              </w:rPr>
            </w:pPr>
            <w:r>
              <w:rPr>
                <w:sz w:val="24"/>
              </w:rPr>
              <w:t>•Construir capital social en los sectores afectados por la vio- lencia.</w:t>
            </w:r>
          </w:p>
          <w:p>
            <w:pPr>
              <w:pStyle w:val="TableParagraph"/>
              <w:spacing w:line="270" w:lineRule="atLeast"/>
              <w:ind w:left="109" w:right="334"/>
              <w:jc w:val="both"/>
              <w:rPr>
                <w:sz w:val="24"/>
              </w:rPr>
            </w:pPr>
            <w:r>
              <w:rPr>
                <w:sz w:val="24"/>
              </w:rPr>
              <w:t>•Fortalecer la relación de confianza entre la comunidad, poli- cía, ejército y administración municipal</w:t>
            </w:r>
          </w:p>
        </w:tc>
      </w:tr>
    </w:tbl>
    <w:p>
      <w:pPr>
        <w:spacing w:after="0" w:line="270" w:lineRule="atLeast"/>
        <w:jc w:val="both"/>
        <w:rPr>
          <w:sz w:val="24"/>
        </w:rPr>
        <w:sectPr>
          <w:pgSz w:w="12240" w:h="15840"/>
          <w:pgMar w:header="0" w:footer="897" w:top="1020" w:bottom="1160" w:left="900" w:right="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3864" w:hRule="atLeast"/>
        </w:trPr>
        <w:tc>
          <w:tcPr>
            <w:tcW w:w="2660" w:type="dxa"/>
          </w:tcPr>
          <w:p>
            <w:pPr>
              <w:pStyle w:val="TableParagraph"/>
              <w:spacing w:line="271" w:lineRule="exact"/>
              <w:ind w:left="107"/>
              <w:rPr>
                <w:sz w:val="24"/>
              </w:rPr>
            </w:pPr>
            <w:r>
              <w:rPr>
                <w:sz w:val="24"/>
              </w:rPr>
              <w:t>Personas beneficiadas</w:t>
            </w:r>
          </w:p>
        </w:tc>
        <w:tc>
          <w:tcPr>
            <w:tcW w:w="6907" w:type="dxa"/>
          </w:tcPr>
          <w:p>
            <w:pPr>
              <w:pStyle w:val="TableParagraph"/>
              <w:ind w:left="109" w:right="163"/>
              <w:rPr>
                <w:sz w:val="24"/>
              </w:rPr>
            </w:pPr>
            <w:r>
              <w:rPr>
                <w:sz w:val="24"/>
              </w:rPr>
              <w:t>Desde el 10 de febrero hasta el 25 de Agosto del 2019 se han realizado 24 jornadas de Domingo seguro.</w:t>
            </w:r>
          </w:p>
          <w:p>
            <w:pPr>
              <w:pStyle w:val="TableParagraph"/>
              <w:spacing w:before="7"/>
              <w:rPr>
                <w:rFonts w:ascii="Times New Roman"/>
                <w:i/>
                <w:sz w:val="23"/>
              </w:rPr>
            </w:pPr>
          </w:p>
          <w:p>
            <w:pPr>
              <w:pStyle w:val="TableParagraph"/>
              <w:ind w:left="109" w:right="390"/>
              <w:rPr>
                <w:sz w:val="24"/>
              </w:rPr>
            </w:pPr>
            <w:r>
              <w:rPr>
                <w:sz w:val="24"/>
              </w:rPr>
              <w:t>Aproximadamente participaron en cada jornada más de 100 personas.</w:t>
            </w:r>
          </w:p>
          <w:p>
            <w:pPr>
              <w:pStyle w:val="TableParagraph"/>
              <w:rPr>
                <w:rFonts w:ascii="Times New Roman"/>
                <w:i/>
                <w:sz w:val="24"/>
              </w:rPr>
            </w:pPr>
          </w:p>
          <w:p>
            <w:pPr>
              <w:pStyle w:val="TableParagraph"/>
              <w:ind w:left="109" w:right="163"/>
              <w:rPr>
                <w:sz w:val="24"/>
              </w:rPr>
            </w:pPr>
            <w:r>
              <w:rPr>
                <w:sz w:val="24"/>
              </w:rPr>
              <w:t>Adicionalmente para el fin de semana de la madre, se llevó a cabo la </w:t>
            </w:r>
            <w:r>
              <w:rPr>
                <w:color w:val="212121"/>
                <w:sz w:val="24"/>
              </w:rPr>
              <w:t>campaña "3 días de paz #Por mamá" donde se reali- zaron en total 27 activi</w:t>
            </w:r>
            <w:r>
              <w:rPr>
                <w:sz w:val="24"/>
              </w:rPr>
              <w:t>dades durante los días 10,11 y 12 de mayo en los siete sectores priorizados de acuerdo al número de casos de muertes violentas. Los barrios intervenidos fue- ron: Manuela Beltrán, Comuneros I y asentamientos, Floralia, Lleras Camargo, Potrero Grande, Llano Verde, Poblado II.</w:t>
            </w:r>
          </w:p>
        </w:tc>
      </w:tr>
      <w:tr>
        <w:trPr>
          <w:trHeight w:val="7678" w:hRule="atLeast"/>
        </w:trPr>
        <w:tc>
          <w:tcPr>
            <w:tcW w:w="2660" w:type="dxa"/>
          </w:tcPr>
          <w:p>
            <w:pPr>
              <w:pStyle w:val="TableParagraph"/>
              <w:spacing w:line="271" w:lineRule="exact"/>
              <w:ind w:left="107"/>
              <w:rPr>
                <w:sz w:val="24"/>
              </w:rPr>
            </w:pPr>
            <w:r>
              <w:rPr>
                <w:sz w:val="24"/>
              </w:rPr>
              <w:t>Donde</w:t>
            </w:r>
          </w:p>
        </w:tc>
        <w:tc>
          <w:tcPr>
            <w:tcW w:w="6907" w:type="dxa"/>
          </w:tcPr>
          <w:p>
            <w:pPr>
              <w:pStyle w:val="TableParagraph"/>
              <w:ind w:left="109" w:right="1418"/>
              <w:rPr>
                <w:sz w:val="24"/>
              </w:rPr>
            </w:pPr>
            <w:r>
              <w:rPr>
                <w:sz w:val="24"/>
              </w:rPr>
              <w:t>Las comunas intervenidas han sido las siguientes: 13,14,15,20,21,18,6,1.</w:t>
            </w:r>
          </w:p>
          <w:p>
            <w:pPr>
              <w:pStyle w:val="TableParagraph"/>
              <w:spacing w:before="7"/>
              <w:rPr>
                <w:rFonts w:ascii="Times New Roman"/>
                <w:i/>
                <w:sz w:val="23"/>
              </w:rPr>
            </w:pPr>
          </w:p>
          <w:p>
            <w:pPr>
              <w:pStyle w:val="TableParagraph"/>
              <w:ind w:left="109" w:right="97"/>
              <w:rPr>
                <w:sz w:val="24"/>
              </w:rPr>
            </w:pPr>
            <w:r>
              <w:rPr>
                <w:sz w:val="24"/>
              </w:rPr>
              <w:t>Las direcciones donde se han realizado las intervenciones son las siguientes:</w:t>
            </w:r>
          </w:p>
          <w:p>
            <w:pPr>
              <w:pStyle w:val="TableParagraph"/>
              <w:numPr>
                <w:ilvl w:val="0"/>
                <w:numId w:val="2"/>
              </w:numPr>
              <w:tabs>
                <w:tab w:pos="830" w:val="left" w:leader="none"/>
                <w:tab w:pos="831" w:val="left" w:leader="none"/>
              </w:tabs>
              <w:spacing w:line="240" w:lineRule="auto" w:before="1" w:after="0"/>
              <w:ind w:left="830" w:right="97" w:hanging="360"/>
              <w:jc w:val="left"/>
              <w:rPr>
                <w:sz w:val="24"/>
              </w:rPr>
            </w:pPr>
            <w:r>
              <w:rPr>
                <w:sz w:val="24"/>
              </w:rPr>
              <w:t>Potrero Grande: Carrera 28b Calle 124ª ( Hasta 23 de junio del</w:t>
            </w:r>
            <w:r>
              <w:rPr>
                <w:spacing w:val="-1"/>
                <w:sz w:val="24"/>
              </w:rPr>
              <w:t> </w:t>
            </w:r>
            <w:r>
              <w:rPr>
                <w:sz w:val="24"/>
              </w:rPr>
              <w:t>2019)</w:t>
            </w:r>
          </w:p>
          <w:p>
            <w:pPr>
              <w:pStyle w:val="TableParagraph"/>
              <w:numPr>
                <w:ilvl w:val="0"/>
                <w:numId w:val="2"/>
              </w:numPr>
              <w:tabs>
                <w:tab w:pos="830" w:val="left" w:leader="none"/>
                <w:tab w:pos="831" w:val="left" w:leader="none"/>
              </w:tabs>
              <w:spacing w:line="235" w:lineRule="auto" w:before="4" w:after="0"/>
              <w:ind w:left="830" w:right="98" w:hanging="360"/>
              <w:jc w:val="left"/>
              <w:rPr>
                <w:sz w:val="24"/>
              </w:rPr>
            </w:pPr>
            <w:r>
              <w:rPr>
                <w:sz w:val="24"/>
              </w:rPr>
              <w:t>Potrero Grande: Calle 121 con carrera 28d7 ( Desde el 25 de agosto del</w:t>
            </w:r>
            <w:r>
              <w:rPr>
                <w:spacing w:val="-1"/>
                <w:sz w:val="24"/>
              </w:rPr>
              <w:t> </w:t>
            </w:r>
            <w:r>
              <w:rPr>
                <w:sz w:val="24"/>
              </w:rPr>
              <w:t>2019)</w:t>
            </w:r>
          </w:p>
          <w:p>
            <w:pPr>
              <w:pStyle w:val="TableParagraph"/>
              <w:numPr>
                <w:ilvl w:val="0"/>
                <w:numId w:val="2"/>
              </w:numPr>
              <w:tabs>
                <w:tab w:pos="830" w:val="left" w:leader="none"/>
                <w:tab w:pos="831" w:val="left" w:leader="none"/>
              </w:tabs>
              <w:spacing w:line="293" w:lineRule="exact" w:before="3" w:after="0"/>
              <w:ind w:left="830" w:right="0" w:hanging="361"/>
              <w:jc w:val="left"/>
              <w:rPr>
                <w:sz w:val="24"/>
              </w:rPr>
            </w:pPr>
            <w:r>
              <w:rPr>
                <w:sz w:val="24"/>
              </w:rPr>
              <w:t>El vergel: Calle 48 entre la 33-34</w:t>
            </w:r>
          </w:p>
          <w:p>
            <w:pPr>
              <w:pStyle w:val="TableParagraph"/>
              <w:numPr>
                <w:ilvl w:val="0"/>
                <w:numId w:val="2"/>
              </w:numPr>
              <w:tabs>
                <w:tab w:pos="830" w:val="left" w:leader="none"/>
                <w:tab w:pos="831" w:val="left" w:leader="none"/>
              </w:tabs>
              <w:spacing w:line="240" w:lineRule="auto" w:before="0" w:after="0"/>
              <w:ind w:left="830" w:right="95" w:hanging="360"/>
              <w:jc w:val="left"/>
              <w:rPr>
                <w:sz w:val="24"/>
              </w:rPr>
            </w:pPr>
            <w:r>
              <w:rPr>
                <w:sz w:val="24"/>
              </w:rPr>
              <w:t>Comuneros 1: Carrera 32ª calle 57, Polideportivo co- muneros</w:t>
            </w:r>
            <w:r>
              <w:rPr>
                <w:spacing w:val="-3"/>
                <w:sz w:val="24"/>
              </w:rPr>
              <w:t> </w:t>
            </w:r>
            <w:r>
              <w:rPr>
                <w:sz w:val="24"/>
              </w:rPr>
              <w:t>1</w:t>
            </w:r>
          </w:p>
          <w:p>
            <w:pPr>
              <w:pStyle w:val="TableParagraph"/>
              <w:numPr>
                <w:ilvl w:val="0"/>
                <w:numId w:val="2"/>
              </w:numPr>
              <w:tabs>
                <w:tab w:pos="830" w:val="left" w:leader="none"/>
                <w:tab w:pos="831" w:val="left" w:leader="none"/>
              </w:tabs>
              <w:spacing w:line="235" w:lineRule="auto" w:before="3" w:after="0"/>
              <w:ind w:left="830" w:right="93" w:hanging="360"/>
              <w:jc w:val="left"/>
              <w:rPr>
                <w:sz w:val="24"/>
              </w:rPr>
            </w:pPr>
            <w:r>
              <w:rPr>
                <w:sz w:val="24"/>
              </w:rPr>
              <w:t>Mojica: Calle 87 con carrera 28 D2, Parque de los na- cederos ( hasta el 19 de</w:t>
            </w:r>
            <w:r>
              <w:rPr>
                <w:spacing w:val="-8"/>
                <w:sz w:val="24"/>
              </w:rPr>
              <w:t> </w:t>
            </w:r>
            <w:r>
              <w:rPr>
                <w:sz w:val="24"/>
              </w:rPr>
              <w:t>mayo)</w:t>
            </w:r>
          </w:p>
          <w:p>
            <w:pPr>
              <w:pStyle w:val="TableParagraph"/>
              <w:numPr>
                <w:ilvl w:val="0"/>
                <w:numId w:val="2"/>
              </w:numPr>
              <w:tabs>
                <w:tab w:pos="830" w:val="left" w:leader="none"/>
                <w:tab w:pos="831" w:val="left" w:leader="none"/>
              </w:tabs>
              <w:spacing w:line="240" w:lineRule="auto" w:before="3" w:after="0"/>
              <w:ind w:left="830" w:right="99" w:hanging="360"/>
              <w:jc w:val="left"/>
              <w:rPr>
                <w:sz w:val="24"/>
              </w:rPr>
            </w:pPr>
            <w:r>
              <w:rPr>
                <w:sz w:val="24"/>
              </w:rPr>
              <w:t>Mojica: calle 76 con cra 28d2, sector la Antena ( Desde 21 de</w:t>
            </w:r>
            <w:r>
              <w:rPr>
                <w:spacing w:val="-1"/>
                <w:sz w:val="24"/>
              </w:rPr>
              <w:t> </w:t>
            </w:r>
            <w:r>
              <w:rPr>
                <w:sz w:val="24"/>
              </w:rPr>
              <w:t>julio)</w:t>
            </w:r>
          </w:p>
          <w:p>
            <w:pPr>
              <w:pStyle w:val="TableParagraph"/>
              <w:numPr>
                <w:ilvl w:val="0"/>
                <w:numId w:val="2"/>
              </w:numPr>
              <w:tabs>
                <w:tab w:pos="830" w:val="left" w:leader="none"/>
                <w:tab w:pos="831" w:val="left" w:leader="none"/>
              </w:tabs>
              <w:spacing w:line="292" w:lineRule="exact" w:before="0" w:after="0"/>
              <w:ind w:left="830" w:right="0" w:hanging="361"/>
              <w:jc w:val="left"/>
              <w:rPr>
                <w:sz w:val="24"/>
              </w:rPr>
            </w:pPr>
            <w:r>
              <w:rPr>
                <w:sz w:val="24"/>
              </w:rPr>
              <w:t>Manuela Beltrán: Calle 105 Carrera</w:t>
            </w:r>
            <w:r>
              <w:rPr>
                <w:spacing w:val="-7"/>
                <w:sz w:val="24"/>
              </w:rPr>
              <w:t> </w:t>
            </w:r>
            <w:r>
              <w:rPr>
                <w:sz w:val="24"/>
              </w:rPr>
              <w:t>26i</w:t>
            </w:r>
          </w:p>
          <w:p>
            <w:pPr>
              <w:pStyle w:val="TableParagraph"/>
              <w:numPr>
                <w:ilvl w:val="0"/>
                <w:numId w:val="2"/>
              </w:numPr>
              <w:tabs>
                <w:tab w:pos="830" w:val="left" w:leader="none"/>
                <w:tab w:pos="831" w:val="left" w:leader="none"/>
              </w:tabs>
              <w:spacing w:line="293" w:lineRule="exact" w:before="0" w:after="0"/>
              <w:ind w:left="830" w:right="0" w:hanging="361"/>
              <w:jc w:val="left"/>
              <w:rPr>
                <w:sz w:val="24"/>
              </w:rPr>
            </w:pPr>
            <w:r>
              <w:rPr>
                <w:sz w:val="24"/>
              </w:rPr>
              <w:t>Floralia: calle 84 carrera 5 norte – Parque</w:t>
            </w:r>
            <w:r>
              <w:rPr>
                <w:spacing w:val="-5"/>
                <w:sz w:val="24"/>
              </w:rPr>
              <w:t> </w:t>
            </w:r>
            <w:r>
              <w:rPr>
                <w:sz w:val="24"/>
              </w:rPr>
              <w:t>Muller</w:t>
            </w:r>
          </w:p>
          <w:p>
            <w:pPr>
              <w:pStyle w:val="TableParagraph"/>
              <w:numPr>
                <w:ilvl w:val="0"/>
                <w:numId w:val="2"/>
              </w:numPr>
              <w:tabs>
                <w:tab w:pos="830" w:val="left" w:leader="none"/>
                <w:tab w:pos="831" w:val="left" w:leader="none"/>
              </w:tabs>
              <w:spacing w:line="235" w:lineRule="auto" w:before="4" w:after="0"/>
              <w:ind w:left="830" w:right="93" w:hanging="360"/>
              <w:jc w:val="left"/>
              <w:rPr>
                <w:sz w:val="24"/>
              </w:rPr>
            </w:pPr>
            <w:r>
              <w:rPr>
                <w:sz w:val="24"/>
              </w:rPr>
              <w:t>Floralia: Calle 77 entre cra 3bn y 3an- Parque Las Amé- ricas</w:t>
            </w:r>
          </w:p>
          <w:p>
            <w:pPr>
              <w:pStyle w:val="TableParagraph"/>
              <w:numPr>
                <w:ilvl w:val="0"/>
                <w:numId w:val="2"/>
              </w:numPr>
              <w:tabs>
                <w:tab w:pos="830" w:val="left" w:leader="none"/>
                <w:tab w:pos="831" w:val="left" w:leader="none"/>
              </w:tabs>
              <w:spacing w:line="293" w:lineRule="exact" w:before="3" w:after="0"/>
              <w:ind w:left="830" w:right="0" w:hanging="361"/>
              <w:jc w:val="left"/>
              <w:rPr>
                <w:sz w:val="24"/>
              </w:rPr>
            </w:pPr>
            <w:r>
              <w:rPr>
                <w:sz w:val="24"/>
              </w:rPr>
              <w:t>Prados del sur: Carrera 78 con calle 1ª, Prados del</w:t>
            </w:r>
            <w:r>
              <w:rPr>
                <w:spacing w:val="-17"/>
                <w:sz w:val="24"/>
              </w:rPr>
              <w:t> </w:t>
            </w:r>
            <w:r>
              <w:rPr>
                <w:sz w:val="24"/>
              </w:rPr>
              <w:t>sur</w:t>
            </w:r>
          </w:p>
          <w:p>
            <w:pPr>
              <w:pStyle w:val="TableParagraph"/>
              <w:numPr>
                <w:ilvl w:val="0"/>
                <w:numId w:val="2"/>
              </w:numPr>
              <w:tabs>
                <w:tab w:pos="830" w:val="left" w:leader="none"/>
                <w:tab w:pos="831" w:val="left" w:leader="none"/>
              </w:tabs>
              <w:spacing w:line="293" w:lineRule="exact" w:before="0" w:after="0"/>
              <w:ind w:left="830" w:right="0" w:hanging="361"/>
              <w:jc w:val="left"/>
              <w:rPr>
                <w:sz w:val="24"/>
              </w:rPr>
            </w:pPr>
            <w:r>
              <w:rPr>
                <w:sz w:val="24"/>
              </w:rPr>
              <w:t>Lleras Camargo: Carrera 46 con calle 20</w:t>
            </w:r>
            <w:r>
              <w:rPr>
                <w:spacing w:val="-3"/>
                <w:sz w:val="24"/>
              </w:rPr>
              <w:t> </w:t>
            </w:r>
            <w:r>
              <w:rPr>
                <w:sz w:val="24"/>
              </w:rPr>
              <w:t>oeste</w:t>
            </w:r>
          </w:p>
          <w:p>
            <w:pPr>
              <w:pStyle w:val="TableParagraph"/>
              <w:numPr>
                <w:ilvl w:val="0"/>
                <w:numId w:val="2"/>
              </w:numPr>
              <w:tabs>
                <w:tab w:pos="830" w:val="left" w:leader="none"/>
                <w:tab w:pos="831" w:val="left" w:leader="none"/>
              </w:tabs>
              <w:spacing w:line="235" w:lineRule="auto" w:before="4" w:after="0"/>
              <w:ind w:left="830" w:right="93" w:hanging="360"/>
              <w:jc w:val="left"/>
              <w:rPr>
                <w:sz w:val="24"/>
              </w:rPr>
            </w:pPr>
            <w:r>
              <w:rPr>
                <w:sz w:val="24"/>
              </w:rPr>
              <w:t>Aguacatal: Avenida 9 oeste con calle 21, cancha agua- catal</w:t>
            </w:r>
          </w:p>
          <w:p>
            <w:pPr>
              <w:pStyle w:val="TableParagraph"/>
              <w:numPr>
                <w:ilvl w:val="0"/>
                <w:numId w:val="2"/>
              </w:numPr>
              <w:tabs>
                <w:tab w:pos="830" w:val="left" w:leader="none"/>
                <w:tab w:pos="831" w:val="left" w:leader="none"/>
              </w:tabs>
              <w:spacing w:line="293" w:lineRule="exact" w:before="3" w:after="0"/>
              <w:ind w:left="830" w:right="0" w:hanging="361"/>
              <w:jc w:val="left"/>
              <w:rPr>
                <w:sz w:val="24"/>
              </w:rPr>
            </w:pPr>
            <w:r>
              <w:rPr>
                <w:sz w:val="24"/>
              </w:rPr>
              <w:t>Llano Verde: Carrera 46 con calle 56</w:t>
            </w:r>
            <w:r>
              <w:rPr>
                <w:spacing w:val="-8"/>
                <w:sz w:val="24"/>
              </w:rPr>
              <w:t> </w:t>
            </w:r>
            <w:r>
              <w:rPr>
                <w:sz w:val="24"/>
              </w:rPr>
              <w:t>F1</w:t>
            </w:r>
          </w:p>
          <w:p>
            <w:pPr>
              <w:pStyle w:val="TableParagraph"/>
              <w:numPr>
                <w:ilvl w:val="0"/>
                <w:numId w:val="2"/>
              </w:numPr>
              <w:tabs>
                <w:tab w:pos="830" w:val="left" w:leader="none"/>
                <w:tab w:pos="831" w:val="left" w:leader="none"/>
              </w:tabs>
              <w:spacing w:line="276" w:lineRule="exact" w:before="20" w:after="0"/>
              <w:ind w:left="109" w:right="2862" w:firstLine="360"/>
              <w:jc w:val="left"/>
              <w:rPr>
                <w:sz w:val="24"/>
              </w:rPr>
            </w:pPr>
            <w:r>
              <w:rPr>
                <w:sz w:val="24"/>
              </w:rPr>
              <w:t>Poblado I: Carrera 29a#43 Poblado II: carrera 28b1 con calle</w:t>
            </w:r>
            <w:r>
              <w:rPr>
                <w:spacing w:val="-12"/>
                <w:sz w:val="24"/>
              </w:rPr>
              <w:t> </w:t>
            </w:r>
            <w:r>
              <w:rPr>
                <w:sz w:val="24"/>
              </w:rPr>
              <w:t>73</w:t>
            </w:r>
          </w:p>
        </w:tc>
      </w:tr>
      <w:tr>
        <w:trPr>
          <w:trHeight w:val="1996" w:hRule="atLeast"/>
        </w:trPr>
        <w:tc>
          <w:tcPr>
            <w:tcW w:w="2660" w:type="dxa"/>
          </w:tcPr>
          <w:p>
            <w:pPr>
              <w:pStyle w:val="TableParagraph"/>
              <w:spacing w:line="271" w:lineRule="exact"/>
              <w:ind w:left="107"/>
              <w:rPr>
                <w:sz w:val="24"/>
              </w:rPr>
            </w:pPr>
            <w:r>
              <w:rPr>
                <w:sz w:val="24"/>
              </w:rPr>
              <w:t>Acciones realizadas</w:t>
            </w:r>
          </w:p>
        </w:tc>
        <w:tc>
          <w:tcPr>
            <w:tcW w:w="6907" w:type="dxa"/>
          </w:tcPr>
          <w:p>
            <w:pPr>
              <w:pStyle w:val="TableParagraph"/>
              <w:numPr>
                <w:ilvl w:val="0"/>
                <w:numId w:val="3"/>
              </w:numPr>
              <w:tabs>
                <w:tab w:pos="830" w:val="left" w:leader="none"/>
                <w:tab w:pos="831" w:val="left" w:leader="none"/>
              </w:tabs>
              <w:spacing w:line="240" w:lineRule="auto" w:before="0" w:after="0"/>
              <w:ind w:left="830" w:right="297" w:hanging="360"/>
              <w:jc w:val="left"/>
              <w:rPr>
                <w:sz w:val="24"/>
              </w:rPr>
            </w:pPr>
            <w:r>
              <w:rPr>
                <w:sz w:val="24"/>
              </w:rPr>
              <w:t>Recuperación de entornos (Siembra de plantas y ade- cuación del espacio: corte de césped, recolección de residuos entre</w:t>
            </w:r>
            <w:r>
              <w:rPr>
                <w:spacing w:val="-4"/>
                <w:sz w:val="24"/>
              </w:rPr>
              <w:t> </w:t>
            </w:r>
            <w:r>
              <w:rPr>
                <w:sz w:val="24"/>
              </w:rPr>
              <w:t>otros),</w:t>
            </w:r>
          </w:p>
          <w:p>
            <w:pPr>
              <w:pStyle w:val="TableParagraph"/>
              <w:numPr>
                <w:ilvl w:val="0"/>
                <w:numId w:val="3"/>
              </w:numPr>
              <w:tabs>
                <w:tab w:pos="830" w:val="left" w:leader="none"/>
                <w:tab w:pos="831" w:val="left" w:leader="none"/>
              </w:tabs>
              <w:spacing w:line="292" w:lineRule="exact" w:before="0" w:after="0"/>
              <w:ind w:left="830" w:right="0" w:hanging="361"/>
              <w:jc w:val="left"/>
              <w:rPr>
                <w:sz w:val="24"/>
              </w:rPr>
            </w:pPr>
            <w:r>
              <w:rPr>
                <w:sz w:val="24"/>
              </w:rPr>
              <w:t>Actividades deportivas,</w:t>
            </w:r>
          </w:p>
          <w:p>
            <w:pPr>
              <w:pStyle w:val="TableParagraph"/>
              <w:numPr>
                <w:ilvl w:val="0"/>
                <w:numId w:val="3"/>
              </w:numPr>
              <w:tabs>
                <w:tab w:pos="830" w:val="left" w:leader="none"/>
                <w:tab w:pos="831" w:val="left" w:leader="none"/>
              </w:tabs>
              <w:spacing w:line="292" w:lineRule="exact" w:before="0" w:after="0"/>
              <w:ind w:left="830" w:right="0" w:hanging="361"/>
              <w:jc w:val="left"/>
              <w:rPr>
                <w:sz w:val="24"/>
              </w:rPr>
            </w:pPr>
            <w:r>
              <w:rPr>
                <w:sz w:val="24"/>
              </w:rPr>
              <w:t>Realización de juegos</w:t>
            </w:r>
            <w:r>
              <w:rPr>
                <w:spacing w:val="1"/>
                <w:sz w:val="24"/>
              </w:rPr>
              <w:t> </w:t>
            </w:r>
            <w:r>
              <w:rPr>
                <w:sz w:val="24"/>
              </w:rPr>
              <w:t>tradicionales</w:t>
            </w:r>
          </w:p>
          <w:p>
            <w:pPr>
              <w:pStyle w:val="TableParagraph"/>
              <w:numPr>
                <w:ilvl w:val="0"/>
                <w:numId w:val="3"/>
              </w:numPr>
              <w:tabs>
                <w:tab w:pos="830" w:val="left" w:leader="none"/>
                <w:tab w:pos="831" w:val="left" w:leader="none"/>
              </w:tabs>
              <w:spacing w:line="276" w:lineRule="exact" w:before="14" w:after="0"/>
              <w:ind w:left="830" w:right="111" w:hanging="360"/>
              <w:jc w:val="left"/>
              <w:rPr>
                <w:sz w:val="24"/>
              </w:rPr>
            </w:pPr>
            <w:r>
              <w:rPr>
                <w:sz w:val="24"/>
              </w:rPr>
              <w:t>Actividades que incentivan la paz y la cultura ciudadana (muñeca de la paz y ruleta de la</w:t>
            </w:r>
            <w:r>
              <w:rPr>
                <w:spacing w:val="-7"/>
                <w:sz w:val="24"/>
              </w:rPr>
              <w:t> </w:t>
            </w:r>
            <w:r>
              <w:rPr>
                <w:sz w:val="24"/>
              </w:rPr>
              <w:t>paz),</w:t>
            </w:r>
          </w:p>
        </w:tc>
      </w:tr>
    </w:tbl>
    <w:p>
      <w:pPr>
        <w:spacing w:after="0" w:line="276" w:lineRule="exact"/>
        <w:jc w:val="left"/>
        <w:rPr>
          <w:sz w:val="24"/>
        </w:rPr>
        <w:sectPr>
          <w:pgSz w:w="12240" w:h="15840"/>
          <w:pgMar w:header="0" w:footer="897" w:top="820" w:bottom="1080" w:left="900" w:right="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3115" w:hRule="atLeast"/>
        </w:trPr>
        <w:tc>
          <w:tcPr>
            <w:tcW w:w="2660" w:type="dxa"/>
          </w:tcPr>
          <w:p>
            <w:pPr>
              <w:pStyle w:val="TableParagraph"/>
              <w:rPr>
                <w:rFonts w:ascii="Times New Roman"/>
                <w:sz w:val="24"/>
              </w:rPr>
            </w:pPr>
          </w:p>
        </w:tc>
        <w:tc>
          <w:tcPr>
            <w:tcW w:w="6907" w:type="dxa"/>
          </w:tcPr>
          <w:p>
            <w:pPr>
              <w:pStyle w:val="TableParagraph"/>
              <w:numPr>
                <w:ilvl w:val="0"/>
                <w:numId w:val="4"/>
              </w:numPr>
              <w:tabs>
                <w:tab w:pos="830" w:val="left" w:leader="none"/>
                <w:tab w:pos="831" w:val="left" w:leader="none"/>
              </w:tabs>
              <w:spacing w:line="237" w:lineRule="auto" w:before="0" w:after="0"/>
              <w:ind w:left="830" w:right="256" w:hanging="360"/>
              <w:jc w:val="left"/>
              <w:rPr>
                <w:sz w:val="24"/>
              </w:rPr>
            </w:pPr>
            <w:r>
              <w:rPr>
                <w:sz w:val="24"/>
              </w:rPr>
              <w:t>Actividades de educación sexual y actividades de ase- guramiento.</w:t>
            </w:r>
          </w:p>
          <w:p>
            <w:pPr>
              <w:pStyle w:val="TableParagraph"/>
              <w:numPr>
                <w:ilvl w:val="0"/>
                <w:numId w:val="4"/>
              </w:numPr>
              <w:tabs>
                <w:tab w:pos="830" w:val="left" w:leader="none"/>
                <w:tab w:pos="831" w:val="left" w:leader="none"/>
              </w:tabs>
              <w:spacing w:line="237" w:lineRule="auto" w:before="3" w:after="0"/>
              <w:ind w:left="830" w:right="98" w:hanging="360"/>
              <w:jc w:val="left"/>
              <w:rPr>
                <w:sz w:val="24"/>
              </w:rPr>
            </w:pPr>
            <w:r>
              <w:rPr>
                <w:sz w:val="24"/>
              </w:rPr>
              <w:t>Acompañamiento de funcionarios del programa para el adulto mayor, más familias en acción, habitante de calle y comedores</w:t>
            </w:r>
            <w:r>
              <w:rPr>
                <w:spacing w:val="-4"/>
                <w:sz w:val="24"/>
              </w:rPr>
              <w:t> </w:t>
            </w:r>
            <w:r>
              <w:rPr>
                <w:sz w:val="24"/>
              </w:rPr>
              <w:t>comunitarios,,</w:t>
            </w:r>
          </w:p>
          <w:p>
            <w:pPr>
              <w:pStyle w:val="TableParagraph"/>
              <w:numPr>
                <w:ilvl w:val="0"/>
                <w:numId w:val="4"/>
              </w:numPr>
              <w:tabs>
                <w:tab w:pos="830" w:val="left" w:leader="none"/>
                <w:tab w:pos="831" w:val="left" w:leader="none"/>
              </w:tabs>
              <w:spacing w:line="293" w:lineRule="exact" w:before="3" w:after="0"/>
              <w:ind w:left="830" w:right="0" w:hanging="361"/>
              <w:jc w:val="left"/>
              <w:rPr>
                <w:sz w:val="24"/>
              </w:rPr>
            </w:pPr>
            <w:r>
              <w:rPr>
                <w:sz w:val="24"/>
              </w:rPr>
              <w:t>Presentaciones artísticas y</w:t>
            </w:r>
            <w:r>
              <w:rPr>
                <w:spacing w:val="-1"/>
                <w:sz w:val="24"/>
              </w:rPr>
              <w:t> </w:t>
            </w:r>
            <w:r>
              <w:rPr>
                <w:sz w:val="24"/>
              </w:rPr>
              <w:t>culturales,</w:t>
            </w:r>
          </w:p>
          <w:p>
            <w:pPr>
              <w:pStyle w:val="TableParagraph"/>
              <w:numPr>
                <w:ilvl w:val="0"/>
                <w:numId w:val="4"/>
              </w:numPr>
              <w:tabs>
                <w:tab w:pos="830" w:val="left" w:leader="none"/>
                <w:tab w:pos="831" w:val="left" w:leader="none"/>
              </w:tabs>
              <w:spacing w:line="240" w:lineRule="auto" w:before="0" w:after="0"/>
              <w:ind w:left="830" w:right="470" w:hanging="360"/>
              <w:jc w:val="left"/>
              <w:rPr>
                <w:sz w:val="24"/>
              </w:rPr>
            </w:pPr>
            <w:r>
              <w:rPr>
                <w:sz w:val="24"/>
              </w:rPr>
              <w:t>Actividades lúdicas con el grupo de prevención de la policía y juegos</w:t>
            </w:r>
            <w:r>
              <w:rPr>
                <w:spacing w:val="-1"/>
                <w:sz w:val="24"/>
              </w:rPr>
              <w:t> </w:t>
            </w:r>
            <w:r>
              <w:rPr>
                <w:sz w:val="24"/>
              </w:rPr>
              <w:t>inflables,</w:t>
            </w:r>
          </w:p>
          <w:p>
            <w:pPr>
              <w:pStyle w:val="TableParagraph"/>
              <w:numPr>
                <w:ilvl w:val="0"/>
                <w:numId w:val="4"/>
              </w:numPr>
              <w:tabs>
                <w:tab w:pos="830" w:val="left" w:leader="none"/>
                <w:tab w:pos="831" w:val="left" w:leader="none"/>
              </w:tabs>
              <w:spacing w:line="235" w:lineRule="auto" w:before="3" w:after="0"/>
              <w:ind w:left="830" w:right="260" w:hanging="360"/>
              <w:jc w:val="left"/>
              <w:rPr>
                <w:sz w:val="24"/>
              </w:rPr>
            </w:pPr>
            <w:r>
              <w:rPr>
                <w:sz w:val="24"/>
              </w:rPr>
              <w:t>Actividades lúdicas por parte del grupo de acción inte- gral del ejército y presentación de la banda marcial</w:t>
            </w:r>
            <w:r>
              <w:rPr>
                <w:spacing w:val="-16"/>
                <w:sz w:val="24"/>
              </w:rPr>
              <w:t> </w:t>
            </w:r>
            <w:r>
              <w:rPr>
                <w:sz w:val="24"/>
              </w:rPr>
              <w:t>del</w:t>
            </w:r>
          </w:p>
          <w:p>
            <w:pPr>
              <w:pStyle w:val="TableParagraph"/>
              <w:spacing w:line="260" w:lineRule="exact" w:before="2"/>
              <w:ind w:left="830"/>
              <w:rPr>
                <w:sz w:val="24"/>
              </w:rPr>
            </w:pPr>
            <w:r>
              <w:rPr>
                <w:sz w:val="24"/>
              </w:rPr>
              <w:t>ejército.</w:t>
            </w:r>
          </w:p>
        </w:tc>
      </w:tr>
      <w:tr>
        <w:trPr>
          <w:trHeight w:val="3314" w:hRule="atLeast"/>
        </w:trPr>
        <w:tc>
          <w:tcPr>
            <w:tcW w:w="2660" w:type="dxa"/>
          </w:tcPr>
          <w:p>
            <w:pPr>
              <w:pStyle w:val="TableParagraph"/>
              <w:spacing w:line="274" w:lineRule="exact"/>
              <w:ind w:left="107"/>
              <w:rPr>
                <w:sz w:val="24"/>
              </w:rPr>
            </w:pPr>
            <w:r>
              <w:rPr>
                <w:sz w:val="24"/>
              </w:rPr>
              <w:t>Resultados</w:t>
            </w:r>
          </w:p>
        </w:tc>
        <w:tc>
          <w:tcPr>
            <w:tcW w:w="6907" w:type="dxa"/>
          </w:tcPr>
          <w:p>
            <w:pPr>
              <w:pStyle w:val="TableParagraph"/>
              <w:ind w:left="109" w:right="190"/>
              <w:rPr>
                <w:sz w:val="24"/>
              </w:rPr>
            </w:pPr>
            <w:r>
              <w:rPr>
                <w:sz w:val="24"/>
              </w:rPr>
              <w:t>En los domingos desde septiembre de 2017 hasta Agosto 10 de 2018 se cometieron 264 homicidios en Cali. Durante el mismo día, en el periodo de la intervención Domingo Seguro, que va desde septiembre de 2018 hasta Agosto 10 de 2019, se han cometido 216. Esto representa una disminución del 18.2%. Para el caso de los homicidios por Convivencia, la re- ducción fue del 34.1%. En los barrios que han hecho parte de la intervención al menos una vez, los homicidios en los do- mingos se redujeron de 79 a 59 en los periodos ya menciona- dos, una disminución de 25.3%. Los homicidios por conviven- cia, así mismo, pasaron de 31 a 12, logrando una reducción</w:t>
            </w:r>
          </w:p>
          <w:p>
            <w:pPr>
              <w:pStyle w:val="TableParagraph"/>
              <w:spacing w:line="261" w:lineRule="exact"/>
              <w:ind w:left="109"/>
              <w:rPr>
                <w:sz w:val="24"/>
              </w:rPr>
            </w:pPr>
            <w:r>
              <w:rPr>
                <w:sz w:val="24"/>
              </w:rPr>
              <w:t>del 61.3%.</w:t>
            </w:r>
          </w:p>
        </w:tc>
      </w:tr>
    </w:tbl>
    <w:p>
      <w:pPr>
        <w:pStyle w:val="BodyText"/>
        <w:spacing w:before="7"/>
        <w:rPr>
          <w:rFonts w:ascii="Times New Roman"/>
          <w:i/>
          <w:sz w:val="15"/>
        </w:rPr>
      </w:pPr>
    </w:p>
    <w:p>
      <w:pPr>
        <w:pStyle w:val="BodyText"/>
        <w:spacing w:before="92"/>
        <w:ind w:left="232" w:right="1319"/>
        <w:jc w:val="both"/>
      </w:pPr>
      <w:r>
        <w:rPr/>
        <w:t>La estrategia de seguridad tiene un componente de prevención social de la violencia el cual se desarrolla a través de diferentes acciones, una de ellas es Domingo seguro, una activi- dad que genera espacios culturales, lúdicos y pedagógicos en los barrios donde ocurren el mayor número de casos de homicidios de la ciudad. Además, fortalece la relación de con- fianza entre la comunidad, policía, ejército y administración municipal.</w:t>
      </w:r>
    </w:p>
    <w:p>
      <w:pPr>
        <w:pStyle w:val="BodyText"/>
      </w:pPr>
    </w:p>
    <w:p>
      <w:pPr>
        <w:pStyle w:val="BodyText"/>
        <w:ind w:left="232" w:right="1322"/>
        <w:jc w:val="both"/>
      </w:pPr>
      <w:r>
        <w:rPr/>
        <w:t>Es importante precisar que la fuerza pública hizo parte de la jornada donde se garantizó la seguridad de la comunidad, se complementó con patrullajes del Ejército.</w:t>
      </w:r>
    </w:p>
    <w:p>
      <w:pPr>
        <w:pStyle w:val="BodyText"/>
      </w:pPr>
    </w:p>
    <w:p>
      <w:pPr>
        <w:pStyle w:val="BodyText"/>
        <w:spacing w:before="1"/>
        <w:ind w:left="232" w:right="1319"/>
        <w:jc w:val="both"/>
      </w:pPr>
      <w:r>
        <w:rPr/>
        <w:t>Con esta acción se impacta el Eje 1: Cali Social y Diversa: "Los proyectos estratégicos, las obras o servicios que se derivan de algunas de las metas establecidas en este Eje, los cua- les serán referentes visibles de las apuestas de este gobierno para poner</w:t>
      </w:r>
    </w:p>
    <w:p>
      <w:pPr>
        <w:pStyle w:val="BodyText"/>
        <w:ind w:left="232" w:right="1319"/>
        <w:jc w:val="both"/>
      </w:pPr>
      <w:r>
        <w:rPr/>
        <w:t>marcha cambios, desde el punto de' vista territorial y social, que conlleven a transformacio- nes y al mejoramiento de la calidad de vida". Y el Eje 3: "Cali progresa en paz, con seguri- dad y cultura ciudadana"</w:t>
      </w:r>
    </w:p>
    <w:p>
      <w:pPr>
        <w:pStyle w:val="BodyText"/>
        <w:spacing w:before="10"/>
        <w:rPr>
          <w:sz w:val="33"/>
        </w:rPr>
      </w:pPr>
    </w:p>
    <w:p>
      <w:pPr>
        <w:spacing w:before="1"/>
        <w:ind w:left="287" w:right="0" w:firstLine="0"/>
        <w:jc w:val="both"/>
        <w:rPr>
          <w:rFonts w:ascii="Times New Roman" w:hAnsi="Times New Roman"/>
          <w:i/>
          <w:sz w:val="24"/>
        </w:rPr>
      </w:pPr>
      <w:r>
        <w:rPr>
          <w:rFonts w:ascii="Times New Roman" w:hAnsi="Times New Roman"/>
          <w:i/>
          <w:sz w:val="24"/>
        </w:rPr>
        <w:t>Apoyo al Batallón de Policía Militar 3</w:t>
      </w:r>
    </w:p>
    <w:p>
      <w:pPr>
        <w:pStyle w:val="BodyText"/>
        <w:spacing w:before="8"/>
        <w:rPr>
          <w:rFonts w:ascii="Times New Roman"/>
          <w:i/>
          <w:sz w:val="34"/>
        </w:rPr>
      </w:pPr>
    </w:p>
    <w:p>
      <w:pPr>
        <w:pStyle w:val="BodyText"/>
        <w:ind w:left="232" w:right="1320"/>
        <w:jc w:val="both"/>
      </w:pPr>
      <w:r>
        <w:rPr/>
        <w:t>El apoyo para la fuerza militar presente en Cali, se convierte en pilar en el marco de las estrategias multienfoque que se han venido implementando en las comunas con mayores números de homicidios. Dichas estrategias han contado con la constante presencia de efectivos del BAPOM 3.</w:t>
      </w:r>
    </w:p>
    <w:p>
      <w:pPr>
        <w:spacing w:after="0"/>
        <w:jc w:val="both"/>
        <w:sectPr>
          <w:pgSz w:w="12240" w:h="15840"/>
          <w:pgMar w:header="0" w:footer="897" w:top="820" w:bottom="1080" w:left="900" w:right="0"/>
        </w:sectPr>
      </w:pPr>
    </w:p>
    <w:p>
      <w:pPr>
        <w:spacing w:before="72"/>
        <w:ind w:left="232" w:right="0" w:firstLine="0"/>
        <w:jc w:val="both"/>
        <w:rPr>
          <w:rFonts w:ascii="Times New Roman" w:hAnsi="Times New Roman"/>
          <w:i/>
          <w:sz w:val="24"/>
        </w:rPr>
      </w:pPr>
      <w:r>
        <w:rPr>
          <w:rFonts w:ascii="Times New Roman" w:hAnsi="Times New Roman"/>
          <w:i/>
          <w:sz w:val="24"/>
        </w:rPr>
        <w:t>Apoyo a la Policía MECAL en Cali</w:t>
      </w:r>
    </w:p>
    <w:p>
      <w:pPr>
        <w:pStyle w:val="BodyText"/>
        <w:spacing w:before="9"/>
        <w:rPr>
          <w:rFonts w:ascii="Times New Roman"/>
          <w:i/>
          <w:sz w:val="34"/>
        </w:rPr>
      </w:pPr>
    </w:p>
    <w:p>
      <w:pPr>
        <w:pStyle w:val="BodyText"/>
        <w:ind w:left="232" w:right="1321"/>
        <w:jc w:val="both"/>
      </w:pPr>
      <w:r>
        <w:rPr/>
        <w:t>La Policía Metropolitana de Cali, es el actor de ejecución de la estrategia de seguridad ciu- dadana. En este orden de ideas, haber brindado el apoyo logístico del año 2018, fue de- terminante para garantizar la movilidad y capacidad de acción de la fuerza policial.</w:t>
      </w:r>
    </w:p>
    <w:p>
      <w:pPr>
        <w:pStyle w:val="BodyText"/>
        <w:spacing w:before="2"/>
        <w:rPr>
          <w:sz w:val="34"/>
        </w:rPr>
      </w:pPr>
    </w:p>
    <w:p>
      <w:pPr>
        <w:spacing w:before="0"/>
        <w:ind w:left="232" w:right="0" w:firstLine="0"/>
        <w:jc w:val="both"/>
        <w:rPr>
          <w:rFonts w:ascii="Times New Roman" w:hAnsi="Times New Roman"/>
          <w:i/>
          <w:sz w:val="24"/>
        </w:rPr>
      </w:pPr>
      <w:r>
        <w:rPr>
          <w:rFonts w:ascii="Times New Roman" w:hAnsi="Times New Roman"/>
          <w:i/>
          <w:sz w:val="24"/>
        </w:rPr>
        <w:t>Instalación de alarmas comunitarias</w:t>
      </w:r>
    </w:p>
    <w:p>
      <w:pPr>
        <w:pStyle w:val="BodyText"/>
        <w:rPr>
          <w:rFonts w:ascii="Times New Roman"/>
          <w:i/>
          <w:sz w:val="26"/>
        </w:rPr>
      </w:pPr>
    </w:p>
    <w:p>
      <w:pPr>
        <w:pStyle w:val="BodyText"/>
        <w:spacing w:before="221"/>
        <w:ind w:left="232" w:right="1330"/>
        <w:jc w:val="both"/>
      </w:pPr>
      <w:r>
        <w:rPr/>
        <w:t>La instalación de las alarmas comunitarias, es uno de los aspectos que mayor atención reciben por parte de los habitantes de los distintos sectores de la ciudad. Brindar un sistema que pueda funcionar de manera integrada con el sistema de alertas de los cuadrantes de la Policía, favorece de manera positiva sobre la seguridad comunitaria y la cercanía de la ciudadanía con las autoridades</w:t>
      </w:r>
      <w:r>
        <w:rPr>
          <w:spacing w:val="-7"/>
        </w:rPr>
        <w:t> </w:t>
      </w:r>
      <w:r>
        <w:rPr/>
        <w:t>policiales</w:t>
      </w:r>
    </w:p>
    <w:p>
      <w:pPr>
        <w:pStyle w:val="BodyText"/>
        <w:rPr>
          <w:sz w:val="26"/>
        </w:rPr>
      </w:pPr>
    </w:p>
    <w:p>
      <w:pPr>
        <w:spacing w:before="214"/>
        <w:ind w:left="2964" w:right="0" w:firstLine="0"/>
        <w:jc w:val="left"/>
        <w:rPr>
          <w:rFonts w:ascii="Times New Roman" w:hAnsi="Times New Roman"/>
          <w:i/>
          <w:sz w:val="24"/>
        </w:rPr>
      </w:pPr>
      <w:r>
        <w:rPr>
          <w:rFonts w:ascii="Times New Roman" w:hAnsi="Times New Roman"/>
          <w:i/>
          <w:sz w:val="24"/>
        </w:rPr>
        <w:t>Tabla 9 Instalación de alarmas comunitarias</w:t>
      </w:r>
    </w:p>
    <w:p>
      <w:pPr>
        <w:pStyle w:val="BodyText"/>
        <w:spacing w:before="1"/>
        <w:rPr>
          <w:rFonts w:ascii="Times New Roman"/>
          <w:i/>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551" w:hRule="atLeast"/>
        </w:trPr>
        <w:tc>
          <w:tcPr>
            <w:tcW w:w="2660" w:type="dxa"/>
          </w:tcPr>
          <w:p>
            <w:pPr>
              <w:pStyle w:val="TableParagraph"/>
              <w:spacing w:line="271" w:lineRule="exact"/>
              <w:ind w:left="107"/>
              <w:rPr>
                <w:sz w:val="24"/>
              </w:rPr>
            </w:pPr>
            <w:r>
              <w:rPr>
                <w:sz w:val="24"/>
              </w:rPr>
              <w:t>Personas beneficiadas</w:t>
            </w:r>
          </w:p>
        </w:tc>
        <w:tc>
          <w:tcPr>
            <w:tcW w:w="6907" w:type="dxa"/>
          </w:tcPr>
          <w:p>
            <w:pPr>
              <w:pStyle w:val="TableParagraph"/>
              <w:spacing w:line="271" w:lineRule="exact"/>
              <w:ind w:left="109"/>
              <w:rPr>
                <w:sz w:val="24"/>
              </w:rPr>
            </w:pPr>
            <w:r>
              <w:rPr>
                <w:sz w:val="24"/>
              </w:rPr>
              <w:t>Comunidad de las comunas 17, 19, 10,12, 21 y corregimiento</w:t>
            </w:r>
          </w:p>
          <w:p>
            <w:pPr>
              <w:pStyle w:val="TableParagraph"/>
              <w:spacing w:line="260" w:lineRule="exact"/>
              <w:ind w:left="109"/>
              <w:rPr>
                <w:sz w:val="24"/>
              </w:rPr>
            </w:pPr>
            <w:r>
              <w:rPr>
                <w:sz w:val="24"/>
              </w:rPr>
              <w:t>de Montebello.</w:t>
            </w:r>
          </w:p>
        </w:tc>
      </w:tr>
      <w:tr>
        <w:trPr>
          <w:trHeight w:val="6348" w:hRule="atLeast"/>
        </w:trPr>
        <w:tc>
          <w:tcPr>
            <w:tcW w:w="2660" w:type="dxa"/>
          </w:tcPr>
          <w:p>
            <w:pPr>
              <w:pStyle w:val="TableParagraph"/>
              <w:spacing w:line="271" w:lineRule="exact"/>
              <w:ind w:left="107"/>
              <w:rPr>
                <w:sz w:val="24"/>
              </w:rPr>
            </w:pPr>
            <w:r>
              <w:rPr>
                <w:sz w:val="24"/>
              </w:rPr>
              <w:t>Acciones</w:t>
            </w:r>
          </w:p>
        </w:tc>
        <w:tc>
          <w:tcPr>
            <w:tcW w:w="6907" w:type="dxa"/>
          </w:tcPr>
          <w:p>
            <w:pPr>
              <w:pStyle w:val="TableParagraph"/>
              <w:ind w:left="109" w:right="94"/>
              <w:jc w:val="both"/>
              <w:rPr>
                <w:sz w:val="24"/>
              </w:rPr>
            </w:pPr>
            <w:r>
              <w:rPr>
                <w:sz w:val="24"/>
              </w:rPr>
              <w:t>El 26 de Julio de 2019, se suscribió el contrato de prestación de servicios No. 4161.010.26.1.611; cuyo objeto es la adquisi- ción, instalación de equipos electrónicos de seguridad comuni- taria con el fin de ser monitoreados en el CAD de la policía metropolitana, para el fortalecimiento de la seguridad y convi- vencia ciudadana del municipio de Santiago de Cali.</w:t>
            </w:r>
          </w:p>
          <w:p>
            <w:pPr>
              <w:pStyle w:val="TableParagraph"/>
              <w:spacing w:line="275" w:lineRule="exact"/>
              <w:ind w:left="109"/>
              <w:jc w:val="both"/>
              <w:rPr>
                <w:sz w:val="24"/>
              </w:rPr>
            </w:pPr>
            <w:r>
              <w:rPr>
                <w:sz w:val="24"/>
              </w:rPr>
              <w:t>Actividades específicas:</w:t>
            </w:r>
          </w:p>
          <w:p>
            <w:pPr>
              <w:pStyle w:val="TableParagraph"/>
              <w:numPr>
                <w:ilvl w:val="0"/>
                <w:numId w:val="5"/>
              </w:numPr>
              <w:tabs>
                <w:tab w:pos="396" w:val="left" w:leader="none"/>
              </w:tabs>
              <w:spacing w:line="240" w:lineRule="auto" w:before="0" w:after="0"/>
              <w:ind w:left="109" w:right="102" w:firstLine="0"/>
              <w:jc w:val="both"/>
              <w:rPr>
                <w:rFonts w:ascii="Times New Roman" w:hAnsi="Times New Roman"/>
                <w:sz w:val="24"/>
              </w:rPr>
            </w:pPr>
            <w:r>
              <w:rPr>
                <w:sz w:val="24"/>
              </w:rPr>
              <w:t>Sensibilización y socialización del proyecto ante el Comité de Planificación y</w:t>
            </w:r>
            <w:r>
              <w:rPr>
                <w:spacing w:val="-3"/>
                <w:sz w:val="24"/>
              </w:rPr>
              <w:t> </w:t>
            </w:r>
            <w:r>
              <w:rPr>
                <w:sz w:val="24"/>
              </w:rPr>
              <w:t>CALI</w:t>
            </w:r>
          </w:p>
          <w:p>
            <w:pPr>
              <w:pStyle w:val="TableParagraph"/>
              <w:numPr>
                <w:ilvl w:val="0"/>
                <w:numId w:val="5"/>
              </w:numPr>
              <w:tabs>
                <w:tab w:pos="422" w:val="left" w:leader="none"/>
              </w:tabs>
              <w:spacing w:line="240" w:lineRule="auto" w:before="0" w:after="0"/>
              <w:ind w:left="109" w:right="90" w:firstLine="0"/>
              <w:jc w:val="both"/>
              <w:rPr>
                <w:sz w:val="24"/>
              </w:rPr>
            </w:pPr>
            <w:r>
              <w:rPr>
                <w:sz w:val="24"/>
              </w:rPr>
              <w:t>Definición de las zonas a intervenir con el proyecto e ins- cripción de los participantes del programa de Frentes de Se- guridad.</w:t>
            </w:r>
          </w:p>
          <w:p>
            <w:pPr>
              <w:pStyle w:val="TableParagraph"/>
              <w:numPr>
                <w:ilvl w:val="0"/>
                <w:numId w:val="5"/>
              </w:numPr>
              <w:tabs>
                <w:tab w:pos="429" w:val="left" w:leader="none"/>
              </w:tabs>
              <w:spacing w:line="240" w:lineRule="auto" w:before="0" w:after="0"/>
              <w:ind w:left="109" w:right="99" w:firstLine="0"/>
              <w:jc w:val="both"/>
              <w:rPr>
                <w:sz w:val="24"/>
              </w:rPr>
            </w:pPr>
            <w:r>
              <w:rPr>
                <w:sz w:val="24"/>
              </w:rPr>
              <w:t>Adquisición e Instalación de alarmas y capacitación en el manejo técnico de 87 equipos integrables (nuevas al CAD) de la policía.</w:t>
            </w:r>
          </w:p>
          <w:p>
            <w:pPr>
              <w:pStyle w:val="TableParagraph"/>
              <w:numPr>
                <w:ilvl w:val="0"/>
                <w:numId w:val="5"/>
              </w:numPr>
              <w:tabs>
                <w:tab w:pos="429" w:val="left" w:leader="none"/>
              </w:tabs>
              <w:spacing w:line="240" w:lineRule="auto" w:before="0" w:after="0"/>
              <w:ind w:left="428" w:right="0" w:hanging="320"/>
              <w:jc w:val="both"/>
              <w:rPr>
                <w:sz w:val="24"/>
              </w:rPr>
            </w:pPr>
            <w:r>
              <w:rPr>
                <w:sz w:val="24"/>
              </w:rPr>
              <w:t>Capacitación</w:t>
            </w:r>
            <w:r>
              <w:rPr>
                <w:spacing w:val="35"/>
                <w:sz w:val="24"/>
              </w:rPr>
              <w:t> </w:t>
            </w:r>
            <w:r>
              <w:rPr>
                <w:sz w:val="24"/>
              </w:rPr>
              <w:t>para</w:t>
            </w:r>
            <w:r>
              <w:rPr>
                <w:spacing w:val="36"/>
                <w:sz w:val="24"/>
              </w:rPr>
              <w:t> </w:t>
            </w:r>
            <w:r>
              <w:rPr>
                <w:sz w:val="24"/>
              </w:rPr>
              <w:t>la</w:t>
            </w:r>
            <w:r>
              <w:rPr>
                <w:spacing w:val="35"/>
                <w:sz w:val="24"/>
              </w:rPr>
              <w:t> </w:t>
            </w:r>
            <w:r>
              <w:rPr>
                <w:sz w:val="24"/>
              </w:rPr>
              <w:t>conformación</w:t>
            </w:r>
            <w:r>
              <w:rPr>
                <w:spacing w:val="37"/>
                <w:sz w:val="24"/>
              </w:rPr>
              <w:t> </w:t>
            </w:r>
            <w:r>
              <w:rPr>
                <w:sz w:val="24"/>
              </w:rPr>
              <w:t>Frentes</w:t>
            </w:r>
            <w:r>
              <w:rPr>
                <w:spacing w:val="35"/>
                <w:sz w:val="24"/>
              </w:rPr>
              <w:t> </w:t>
            </w:r>
            <w:r>
              <w:rPr>
                <w:sz w:val="24"/>
              </w:rPr>
              <w:t>de</w:t>
            </w:r>
            <w:r>
              <w:rPr>
                <w:spacing w:val="34"/>
                <w:sz w:val="24"/>
              </w:rPr>
              <w:t> </w:t>
            </w:r>
            <w:r>
              <w:rPr>
                <w:sz w:val="24"/>
              </w:rPr>
              <w:t>Seguridad.</w:t>
            </w:r>
          </w:p>
          <w:p>
            <w:pPr>
              <w:pStyle w:val="TableParagraph"/>
              <w:numPr>
                <w:ilvl w:val="0"/>
                <w:numId w:val="5"/>
              </w:numPr>
              <w:tabs>
                <w:tab w:pos="400" w:val="left" w:leader="none"/>
              </w:tabs>
              <w:spacing w:line="240" w:lineRule="auto" w:before="0" w:after="0"/>
              <w:ind w:left="109" w:right="94" w:firstLine="0"/>
              <w:jc w:val="both"/>
              <w:rPr>
                <w:sz w:val="24"/>
              </w:rPr>
            </w:pPr>
            <w:r>
              <w:rPr>
                <w:sz w:val="24"/>
              </w:rPr>
              <w:t>Plan de Seguridad y Convivencia de la comuna, </w:t>
            </w:r>
            <w:r>
              <w:rPr>
                <w:spacing w:val="2"/>
                <w:sz w:val="24"/>
              </w:rPr>
              <w:t>con </w:t>
            </w:r>
            <w:r>
              <w:rPr>
                <w:sz w:val="24"/>
              </w:rPr>
              <w:t>la par- ticipación de las JAC y grupos</w:t>
            </w:r>
            <w:r>
              <w:rPr>
                <w:spacing w:val="-8"/>
                <w:sz w:val="24"/>
              </w:rPr>
              <w:t> </w:t>
            </w:r>
            <w:r>
              <w:rPr>
                <w:sz w:val="24"/>
              </w:rPr>
              <w:t>sociales.</w:t>
            </w:r>
          </w:p>
          <w:p>
            <w:pPr>
              <w:pStyle w:val="TableParagraph"/>
              <w:numPr>
                <w:ilvl w:val="0"/>
                <w:numId w:val="5"/>
              </w:numPr>
              <w:tabs>
                <w:tab w:pos="407" w:val="left" w:leader="none"/>
              </w:tabs>
              <w:spacing w:line="240" w:lineRule="auto" w:before="0" w:after="0"/>
              <w:ind w:left="109" w:right="90" w:firstLine="0"/>
              <w:jc w:val="both"/>
              <w:rPr>
                <w:sz w:val="24"/>
              </w:rPr>
            </w:pPr>
            <w:r>
              <w:rPr>
                <w:sz w:val="24"/>
              </w:rPr>
              <w:t>Conformación del Comité Promotor de Seguridad Comunal con la participación de mínimo un integrante de cada Frente de Seguridad, con el apoyo y aprobación de la Policía Comu- nitaria y Estación de Policía (Acta de</w:t>
            </w:r>
            <w:r>
              <w:rPr>
                <w:spacing w:val="-8"/>
                <w:sz w:val="24"/>
              </w:rPr>
              <w:t> </w:t>
            </w:r>
            <w:r>
              <w:rPr>
                <w:sz w:val="24"/>
              </w:rPr>
              <w:t>Conformación)</w:t>
            </w:r>
          </w:p>
        </w:tc>
      </w:tr>
      <w:tr>
        <w:trPr>
          <w:trHeight w:val="275" w:hRule="atLeast"/>
        </w:trPr>
        <w:tc>
          <w:tcPr>
            <w:tcW w:w="2660" w:type="dxa"/>
          </w:tcPr>
          <w:p>
            <w:pPr>
              <w:pStyle w:val="TableParagraph"/>
              <w:spacing w:line="256" w:lineRule="exact"/>
              <w:ind w:left="107"/>
              <w:rPr>
                <w:sz w:val="24"/>
              </w:rPr>
            </w:pPr>
            <w:r>
              <w:rPr>
                <w:sz w:val="24"/>
              </w:rPr>
              <w:t>Inversión</w:t>
            </w:r>
          </w:p>
        </w:tc>
        <w:tc>
          <w:tcPr>
            <w:tcW w:w="6907" w:type="dxa"/>
          </w:tcPr>
          <w:p>
            <w:pPr>
              <w:pStyle w:val="TableParagraph"/>
              <w:spacing w:line="256" w:lineRule="exact"/>
              <w:ind w:left="109"/>
              <w:rPr>
                <w:sz w:val="24"/>
              </w:rPr>
            </w:pPr>
            <w:r>
              <w:rPr>
                <w:sz w:val="24"/>
              </w:rPr>
              <w:t>COP $ 233.262.015</w:t>
            </w:r>
          </w:p>
        </w:tc>
      </w:tr>
    </w:tbl>
    <w:p>
      <w:pPr>
        <w:pStyle w:val="BodyText"/>
        <w:spacing w:before="7"/>
        <w:rPr>
          <w:rFonts w:ascii="Times New Roman"/>
          <w:i/>
          <w:sz w:val="23"/>
        </w:rPr>
      </w:pPr>
    </w:p>
    <w:p>
      <w:pPr>
        <w:pStyle w:val="BodyText"/>
        <w:ind w:left="232"/>
      </w:pPr>
      <w:r>
        <w:rPr>
          <w:w w:val="100"/>
        </w:rPr>
        <w:t>.</w:t>
      </w:r>
    </w:p>
    <w:p>
      <w:pPr>
        <w:spacing w:after="0"/>
        <w:sectPr>
          <w:pgSz w:w="12240" w:h="15840"/>
          <w:pgMar w:header="0" w:footer="897" w:top="740" w:bottom="1160" w:left="900" w:right="0"/>
        </w:sectPr>
      </w:pPr>
    </w:p>
    <w:p>
      <w:pPr>
        <w:spacing w:before="72"/>
        <w:ind w:left="232" w:right="0" w:firstLine="0"/>
        <w:jc w:val="both"/>
        <w:rPr>
          <w:rFonts w:ascii="Times New Roman" w:hAnsi="Times New Roman"/>
          <w:i/>
          <w:sz w:val="24"/>
        </w:rPr>
      </w:pPr>
      <w:r>
        <w:rPr>
          <w:rFonts w:ascii="Times New Roman" w:hAnsi="Times New Roman"/>
          <w:i/>
          <w:sz w:val="24"/>
        </w:rPr>
        <w:t>Helicóptero Bell 407 Halcón</w:t>
      </w:r>
    </w:p>
    <w:p>
      <w:pPr>
        <w:pStyle w:val="BodyText"/>
        <w:spacing w:before="9"/>
        <w:rPr>
          <w:rFonts w:ascii="Times New Roman"/>
          <w:i/>
          <w:sz w:val="34"/>
        </w:rPr>
      </w:pPr>
    </w:p>
    <w:p>
      <w:pPr>
        <w:pStyle w:val="BodyText"/>
        <w:ind w:left="232" w:right="1323"/>
        <w:jc w:val="both"/>
      </w:pPr>
      <w:r>
        <w:rPr/>
        <w:t>Los patrullajes aéreos adelantados por la Fuerza Halcón, se han convertido en un hito para la presencia policial de la ciudad de Cali. Gracias a la acción y la tecnología del Helicóptero Halcón, se ha logrado apoyar las labores de vigilancia terrestre. La presencia del Halcón ha logrado posicionar los patrullajes como generadores de percepción positiva de la seguridad ciudadana y como un apoyo determinante en la persecución de presuntos delincuentes.</w:t>
      </w:r>
    </w:p>
    <w:p>
      <w:pPr>
        <w:pStyle w:val="BodyText"/>
        <w:rPr>
          <w:sz w:val="26"/>
        </w:rPr>
      </w:pPr>
    </w:p>
    <w:p>
      <w:pPr>
        <w:pStyle w:val="BodyText"/>
        <w:spacing w:before="8"/>
        <w:rPr>
          <w:sz w:val="21"/>
        </w:rPr>
      </w:pPr>
    </w:p>
    <w:p>
      <w:pPr>
        <w:spacing w:before="1"/>
        <w:ind w:left="232" w:right="0" w:firstLine="0"/>
        <w:jc w:val="both"/>
        <w:rPr>
          <w:rFonts w:ascii="Times New Roman"/>
          <w:i/>
          <w:sz w:val="24"/>
        </w:rPr>
      </w:pPr>
      <w:r>
        <w:rPr>
          <w:rFonts w:ascii="Times New Roman"/>
          <w:i/>
          <w:sz w:val="24"/>
        </w:rPr>
        <w:t>Fortalecimiento y mantenimiento sistema de monitoreo y vigilancia de la ciudad de Cali</w:t>
      </w:r>
    </w:p>
    <w:p>
      <w:pPr>
        <w:pStyle w:val="BodyText"/>
        <w:spacing w:before="3"/>
        <w:rPr>
          <w:rFonts w:ascii="Times New Roman"/>
          <w:i/>
        </w:rPr>
      </w:pPr>
    </w:p>
    <w:p>
      <w:pPr>
        <w:pStyle w:val="BodyText"/>
        <w:ind w:left="232" w:right="1323"/>
        <w:jc w:val="both"/>
      </w:pPr>
      <w:r>
        <w:rPr/>
        <w:t>La ciudad de Cali cuenta actualmente con 1599 puntos de monitoreo con cámaras de video vigilancia. Gran parte de la ciudadanía se ve beneficiada por la intervención adelantada en el sistema de video vigilancia de la ciudad de Cali.</w:t>
      </w:r>
    </w:p>
    <w:p>
      <w:pPr>
        <w:pStyle w:val="BodyText"/>
        <w:spacing w:before="2"/>
        <w:rPr>
          <w:sz w:val="34"/>
        </w:rPr>
      </w:pPr>
    </w:p>
    <w:p>
      <w:pPr>
        <w:spacing w:before="0"/>
        <w:ind w:left="424" w:right="0" w:firstLine="0"/>
        <w:jc w:val="left"/>
        <w:rPr>
          <w:rFonts w:ascii="Times New Roman"/>
          <w:i/>
          <w:sz w:val="24"/>
        </w:rPr>
      </w:pPr>
      <w:r>
        <w:rPr>
          <w:rFonts w:ascii="Times New Roman"/>
          <w:i/>
          <w:sz w:val="24"/>
        </w:rPr>
        <w:t>Tabla 10 Fortalecimiento y mantenimiento sistema de monitoreo y vigilancia de la ciudad de Cali</w:t>
      </w:r>
    </w:p>
    <w:p>
      <w:pPr>
        <w:pStyle w:val="BodyText"/>
        <w:spacing w:before="2"/>
        <w:rPr>
          <w:rFonts w:ascii="Times New Roman"/>
          <w:i/>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275" w:hRule="atLeast"/>
        </w:trPr>
        <w:tc>
          <w:tcPr>
            <w:tcW w:w="2660" w:type="dxa"/>
          </w:tcPr>
          <w:p>
            <w:pPr>
              <w:pStyle w:val="TableParagraph"/>
              <w:spacing w:line="256" w:lineRule="exact"/>
              <w:ind w:left="107"/>
              <w:rPr>
                <w:sz w:val="24"/>
              </w:rPr>
            </w:pPr>
            <w:r>
              <w:rPr>
                <w:sz w:val="24"/>
              </w:rPr>
              <w:t>Personas beneficiadas</w:t>
            </w:r>
          </w:p>
        </w:tc>
        <w:tc>
          <w:tcPr>
            <w:tcW w:w="6907" w:type="dxa"/>
          </w:tcPr>
          <w:p>
            <w:pPr>
              <w:pStyle w:val="TableParagraph"/>
              <w:spacing w:line="256" w:lineRule="exact"/>
              <w:ind w:left="109"/>
              <w:rPr>
                <w:sz w:val="24"/>
              </w:rPr>
            </w:pPr>
            <w:r>
              <w:rPr>
                <w:sz w:val="24"/>
              </w:rPr>
              <w:t>Diferentes comunas del Municipio de Santiago de Cali</w:t>
            </w:r>
          </w:p>
        </w:tc>
      </w:tr>
      <w:tr>
        <w:trPr>
          <w:trHeight w:val="8347" w:hRule="atLeast"/>
        </w:trPr>
        <w:tc>
          <w:tcPr>
            <w:tcW w:w="2660" w:type="dxa"/>
          </w:tcPr>
          <w:p>
            <w:pPr>
              <w:pStyle w:val="TableParagraph"/>
              <w:spacing w:line="271" w:lineRule="exact"/>
              <w:ind w:left="107"/>
              <w:rPr>
                <w:sz w:val="24"/>
              </w:rPr>
            </w:pPr>
            <w:r>
              <w:rPr>
                <w:sz w:val="24"/>
              </w:rPr>
              <w:t>Acciones</w:t>
            </w:r>
          </w:p>
        </w:tc>
        <w:tc>
          <w:tcPr>
            <w:tcW w:w="6907" w:type="dxa"/>
          </w:tcPr>
          <w:p>
            <w:pPr>
              <w:pStyle w:val="TableParagraph"/>
              <w:numPr>
                <w:ilvl w:val="0"/>
                <w:numId w:val="6"/>
              </w:numPr>
              <w:tabs>
                <w:tab w:pos="831" w:val="left" w:leader="none"/>
              </w:tabs>
              <w:spacing w:line="240" w:lineRule="auto" w:before="0" w:after="0"/>
              <w:ind w:left="830" w:right="93" w:hanging="360"/>
              <w:jc w:val="both"/>
              <w:rPr>
                <w:sz w:val="24"/>
              </w:rPr>
            </w:pPr>
            <w:r>
              <w:rPr>
                <w:sz w:val="24"/>
              </w:rPr>
              <w:t>Por una decisión estratégica, ha sido priorizada la in- versión en el fortalecimiento de la capacidad instalada del Sistema de Videocámaras en general (Capacidad de grabación en servidores, transmisión de datos, fibra óptica), por encima de la inversión en su crecimiento (instalación de más</w:t>
            </w:r>
            <w:r>
              <w:rPr>
                <w:spacing w:val="-7"/>
                <w:sz w:val="24"/>
              </w:rPr>
              <w:t> </w:t>
            </w:r>
            <w:r>
              <w:rPr>
                <w:sz w:val="24"/>
              </w:rPr>
              <w:t>cámaras).</w:t>
            </w:r>
          </w:p>
          <w:p>
            <w:pPr>
              <w:pStyle w:val="TableParagraph"/>
              <w:ind w:left="830" w:right="90"/>
              <w:jc w:val="both"/>
              <w:rPr>
                <w:sz w:val="24"/>
              </w:rPr>
            </w:pPr>
            <w:r>
              <w:rPr>
                <w:sz w:val="24"/>
              </w:rPr>
              <w:t>vigilancia / cctv del Municipio de Santiago de Cali, in- cluyendo suministro y reposición de cámaras de video vigilancia con su respectiva instalación integración, con- figuración y mano de obra. Esta inversión cuenta con un presupuesto de COP $ 6.311.000.000 y su adjudica- ción se realizará el 29 de Agosto de</w:t>
            </w:r>
            <w:r>
              <w:rPr>
                <w:spacing w:val="-4"/>
                <w:sz w:val="24"/>
              </w:rPr>
              <w:t> </w:t>
            </w:r>
            <w:r>
              <w:rPr>
                <w:sz w:val="24"/>
              </w:rPr>
              <w:t>2019.</w:t>
            </w:r>
          </w:p>
          <w:p>
            <w:pPr>
              <w:pStyle w:val="TableParagraph"/>
              <w:numPr>
                <w:ilvl w:val="0"/>
                <w:numId w:val="6"/>
              </w:numPr>
              <w:tabs>
                <w:tab w:pos="831" w:val="left" w:leader="none"/>
              </w:tabs>
              <w:spacing w:line="240" w:lineRule="auto" w:before="0" w:after="0"/>
              <w:ind w:left="830" w:right="90" w:hanging="360"/>
              <w:jc w:val="both"/>
              <w:rPr>
                <w:sz w:val="24"/>
              </w:rPr>
            </w:pPr>
            <w:r>
              <w:rPr>
                <w:sz w:val="24"/>
              </w:rPr>
              <w:t>Realizar mantenimiento Correctivo en los últimos tra- mos de fibra óptica correspondiente a conectividad final de las cámaras de video vigilancia, en un tiempo no mayor a 12 horas contadas a partir de la detección del corte fibra, para garantizar su correcto</w:t>
            </w:r>
            <w:r>
              <w:rPr>
                <w:spacing w:val="-11"/>
                <w:sz w:val="24"/>
              </w:rPr>
              <w:t> </w:t>
            </w:r>
            <w:r>
              <w:rPr>
                <w:sz w:val="24"/>
              </w:rPr>
              <w:t>funcionamiento.</w:t>
            </w:r>
          </w:p>
          <w:p>
            <w:pPr>
              <w:pStyle w:val="TableParagraph"/>
              <w:numPr>
                <w:ilvl w:val="0"/>
                <w:numId w:val="6"/>
              </w:numPr>
              <w:tabs>
                <w:tab w:pos="831" w:val="left" w:leader="none"/>
              </w:tabs>
              <w:spacing w:line="240" w:lineRule="auto" w:before="0" w:after="0"/>
              <w:ind w:left="830" w:right="90" w:hanging="360"/>
              <w:jc w:val="both"/>
              <w:rPr>
                <w:rFonts w:ascii="Times New Roman" w:hAnsi="Times New Roman"/>
                <w:sz w:val="24"/>
              </w:rPr>
            </w:pPr>
            <w:r>
              <w:rPr>
                <w:sz w:val="24"/>
              </w:rPr>
              <w:t>Realizar el mantenimiento correctivo de la red de fibra óptica que se compone desde la cámara hasta el nodo más cercano y a 1.595 cámaras que en la actualidad se encuentran fuera de garantía, entendiendo si debe rea- lizarse reposición</w:t>
            </w:r>
            <w:r>
              <w:rPr>
                <w:rFonts w:ascii="Times New Roman" w:hAnsi="Times New Roman"/>
                <w:sz w:val="24"/>
              </w:rPr>
              <w:t>, </w:t>
            </w:r>
            <w:r>
              <w:rPr>
                <w:sz w:val="24"/>
              </w:rPr>
              <w:t>instalación y puesta en operación de las, Cámaras de video vigilancia</w:t>
            </w:r>
            <w:r>
              <w:rPr>
                <w:spacing w:val="-3"/>
                <w:sz w:val="24"/>
              </w:rPr>
              <w:t> </w:t>
            </w:r>
            <w:r>
              <w:rPr>
                <w:sz w:val="24"/>
              </w:rPr>
              <w:t>existentes</w:t>
            </w:r>
            <w:r>
              <w:rPr>
                <w:rFonts w:ascii="Times New Roman" w:hAnsi="Times New Roman"/>
                <w:sz w:val="24"/>
              </w:rPr>
              <w:t>.</w:t>
            </w:r>
          </w:p>
          <w:p>
            <w:pPr>
              <w:pStyle w:val="TableParagraph"/>
              <w:numPr>
                <w:ilvl w:val="0"/>
                <w:numId w:val="6"/>
              </w:numPr>
              <w:tabs>
                <w:tab w:pos="831" w:val="left" w:leader="none"/>
              </w:tabs>
              <w:spacing w:line="240" w:lineRule="auto" w:before="0" w:after="0"/>
              <w:ind w:left="830" w:right="92" w:hanging="360"/>
              <w:jc w:val="both"/>
              <w:rPr>
                <w:sz w:val="24"/>
              </w:rPr>
            </w:pPr>
            <w:r>
              <w:rPr>
                <w:sz w:val="24"/>
              </w:rPr>
              <w:t>29 reposiciones de cámaras con los respectivos reem- plazos de la fibra óptica. – Suministro de un sistema de grabación NVR adicional y reparación del NVR existen- te + licenciamiento. – Solución de red de datos para la conexión de todo el sistema de cámaras (Gbl) de la ciudad.</w:t>
            </w:r>
            <w:r>
              <w:rPr>
                <w:spacing w:val="40"/>
                <w:sz w:val="24"/>
              </w:rPr>
              <w:t> </w:t>
            </w:r>
            <w:r>
              <w:rPr>
                <w:sz w:val="24"/>
              </w:rPr>
              <w:t>–</w:t>
            </w:r>
            <w:r>
              <w:rPr>
                <w:spacing w:val="38"/>
                <w:sz w:val="24"/>
              </w:rPr>
              <w:t> </w:t>
            </w:r>
            <w:r>
              <w:rPr>
                <w:sz w:val="24"/>
              </w:rPr>
              <w:t>Mantenimiento</w:t>
            </w:r>
            <w:r>
              <w:rPr>
                <w:spacing w:val="39"/>
                <w:sz w:val="24"/>
              </w:rPr>
              <w:t> </w:t>
            </w:r>
            <w:r>
              <w:rPr>
                <w:sz w:val="24"/>
              </w:rPr>
              <w:t>de</w:t>
            </w:r>
            <w:r>
              <w:rPr>
                <w:spacing w:val="40"/>
                <w:sz w:val="24"/>
              </w:rPr>
              <w:t> </w:t>
            </w:r>
            <w:r>
              <w:rPr>
                <w:sz w:val="24"/>
              </w:rPr>
              <w:t>la</w:t>
            </w:r>
            <w:r>
              <w:rPr>
                <w:spacing w:val="40"/>
                <w:sz w:val="24"/>
              </w:rPr>
              <w:t> </w:t>
            </w:r>
            <w:r>
              <w:rPr>
                <w:sz w:val="24"/>
              </w:rPr>
              <w:t>red</w:t>
            </w:r>
            <w:r>
              <w:rPr>
                <w:spacing w:val="39"/>
                <w:sz w:val="24"/>
              </w:rPr>
              <w:t> </w:t>
            </w:r>
            <w:r>
              <w:rPr>
                <w:sz w:val="24"/>
              </w:rPr>
              <w:t>de</w:t>
            </w:r>
            <w:r>
              <w:rPr>
                <w:spacing w:val="35"/>
                <w:sz w:val="24"/>
              </w:rPr>
              <w:t> </w:t>
            </w:r>
            <w:r>
              <w:rPr>
                <w:sz w:val="24"/>
              </w:rPr>
              <w:t>fibra</w:t>
            </w:r>
            <w:r>
              <w:rPr>
                <w:spacing w:val="38"/>
                <w:sz w:val="24"/>
              </w:rPr>
              <w:t> </w:t>
            </w:r>
            <w:r>
              <w:rPr>
                <w:sz w:val="24"/>
              </w:rPr>
              <w:t>óptica</w:t>
            </w:r>
            <w:r>
              <w:rPr>
                <w:spacing w:val="37"/>
                <w:sz w:val="24"/>
              </w:rPr>
              <w:t> </w:t>
            </w:r>
            <w:r>
              <w:rPr>
                <w:sz w:val="24"/>
              </w:rPr>
              <w:t>por</w:t>
            </w:r>
          </w:p>
          <w:p>
            <w:pPr>
              <w:pStyle w:val="TableParagraph"/>
              <w:spacing w:line="258" w:lineRule="exact"/>
              <w:ind w:left="830"/>
              <w:jc w:val="both"/>
              <w:rPr>
                <w:sz w:val="24"/>
              </w:rPr>
            </w:pPr>
            <w:r>
              <w:rPr>
                <w:sz w:val="24"/>
              </w:rPr>
              <w:t>fuera de garantía. de redes de comunicaciones por ave-</w:t>
            </w:r>
          </w:p>
        </w:tc>
      </w:tr>
    </w:tbl>
    <w:p>
      <w:pPr>
        <w:spacing w:after="0" w:line="258" w:lineRule="exact"/>
        <w:jc w:val="both"/>
        <w:rPr>
          <w:sz w:val="24"/>
        </w:rPr>
        <w:sectPr>
          <w:pgSz w:w="12240" w:h="15840"/>
          <w:pgMar w:header="0" w:footer="897" w:top="740" w:bottom="1160" w:left="900" w:right="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6907"/>
      </w:tblGrid>
      <w:tr>
        <w:trPr>
          <w:trHeight w:val="827" w:hRule="atLeast"/>
        </w:trPr>
        <w:tc>
          <w:tcPr>
            <w:tcW w:w="2660" w:type="dxa"/>
          </w:tcPr>
          <w:p>
            <w:pPr>
              <w:pStyle w:val="TableParagraph"/>
              <w:rPr>
                <w:rFonts w:ascii="Times New Roman"/>
                <w:sz w:val="24"/>
              </w:rPr>
            </w:pPr>
          </w:p>
        </w:tc>
        <w:tc>
          <w:tcPr>
            <w:tcW w:w="6907" w:type="dxa"/>
          </w:tcPr>
          <w:p>
            <w:pPr>
              <w:pStyle w:val="TableParagraph"/>
              <w:spacing w:line="276" w:lineRule="exact"/>
              <w:ind w:left="830" w:right="90"/>
              <w:jc w:val="both"/>
              <w:rPr>
                <w:sz w:val="24"/>
              </w:rPr>
            </w:pPr>
            <w:r>
              <w:rPr>
                <w:sz w:val="24"/>
              </w:rPr>
              <w:t>rías. – Mantenimiento y adecuación equipos e instala- ciones CAD. – Fortalecimiento de las capacidades del sistema de video vigilancia de la ciudad.</w:t>
            </w:r>
          </w:p>
        </w:tc>
      </w:tr>
      <w:tr>
        <w:trPr>
          <w:trHeight w:val="276" w:hRule="atLeast"/>
        </w:trPr>
        <w:tc>
          <w:tcPr>
            <w:tcW w:w="2660" w:type="dxa"/>
          </w:tcPr>
          <w:p>
            <w:pPr>
              <w:pStyle w:val="TableParagraph"/>
              <w:spacing w:line="256" w:lineRule="exact"/>
              <w:ind w:left="107"/>
              <w:rPr>
                <w:sz w:val="24"/>
              </w:rPr>
            </w:pPr>
            <w:r>
              <w:rPr>
                <w:sz w:val="24"/>
              </w:rPr>
              <w:t>Inversión</w:t>
            </w:r>
          </w:p>
        </w:tc>
        <w:tc>
          <w:tcPr>
            <w:tcW w:w="6907" w:type="dxa"/>
          </w:tcPr>
          <w:p>
            <w:pPr>
              <w:pStyle w:val="TableParagraph"/>
              <w:spacing w:line="256" w:lineRule="exact"/>
              <w:ind w:left="109"/>
              <w:rPr>
                <w:sz w:val="24"/>
              </w:rPr>
            </w:pPr>
            <w:r>
              <w:rPr>
                <w:sz w:val="24"/>
              </w:rPr>
              <w:t>COP $ 6.311.000.000</w:t>
            </w:r>
          </w:p>
        </w:tc>
      </w:tr>
    </w:tbl>
    <w:p>
      <w:pPr>
        <w:pStyle w:val="BodyText"/>
        <w:rPr>
          <w:rFonts w:ascii="Times New Roman"/>
          <w:i/>
          <w:sz w:val="20"/>
        </w:rPr>
      </w:pPr>
    </w:p>
    <w:p>
      <w:pPr>
        <w:pStyle w:val="BodyText"/>
        <w:spacing w:before="7"/>
        <w:rPr>
          <w:rFonts w:ascii="Times New Roman"/>
          <w:i/>
          <w:sz w:val="27"/>
        </w:rPr>
      </w:pPr>
    </w:p>
    <w:p>
      <w:pPr>
        <w:pStyle w:val="Heading2"/>
        <w:spacing w:line="242" w:lineRule="auto" w:before="92"/>
      </w:pPr>
      <w:r>
        <w:rPr>
          <w:color w:val="212121"/>
        </w:rPr>
        <w:t>Aporte de la Secretaría de Seguridad y Justicia frente a los Objetivos de Desarrollo Sostenible</w:t>
      </w:r>
    </w:p>
    <w:p>
      <w:pPr>
        <w:pStyle w:val="BodyText"/>
        <w:spacing w:before="5"/>
        <w:rPr>
          <w:b/>
          <w:sz w:val="27"/>
        </w:rPr>
      </w:pPr>
    </w:p>
    <w:p>
      <w:pPr>
        <w:pStyle w:val="BodyText"/>
        <w:ind w:left="232" w:right="1321"/>
        <w:jc w:val="both"/>
      </w:pPr>
      <w:r>
        <w:rPr>
          <w:color w:val="212121"/>
        </w:rPr>
        <w:t>Con los planes, programas y proyectos de la Secretaría de Seguridad y Justicia se aporta al cumplimiento del objetivo 16 Promover sociedades justas, pacificas e inclusivas, los cua- les están alineados en el Plan de Desarrollo y la Política Integral de</w:t>
      </w:r>
      <w:r>
        <w:rPr>
          <w:color w:val="212121"/>
          <w:spacing w:val="-17"/>
        </w:rPr>
        <w:t> </w:t>
      </w:r>
      <w:r>
        <w:rPr>
          <w:color w:val="212121"/>
        </w:rPr>
        <w:t>Seguridad.</w:t>
      </w:r>
    </w:p>
    <w:p>
      <w:pPr>
        <w:pStyle w:val="BodyText"/>
        <w:rPr>
          <w:sz w:val="26"/>
        </w:rPr>
      </w:pPr>
    </w:p>
    <w:p>
      <w:pPr>
        <w:pStyle w:val="BodyText"/>
        <w:rPr>
          <w:sz w:val="22"/>
        </w:rPr>
      </w:pPr>
    </w:p>
    <w:p>
      <w:pPr>
        <w:pStyle w:val="BodyText"/>
        <w:spacing w:before="1"/>
        <w:ind w:left="232"/>
      </w:pPr>
      <w:r>
        <w:rPr>
          <w:color w:val="212121"/>
        </w:rPr>
        <w:t>Metas</w:t>
      </w:r>
    </w:p>
    <w:p>
      <w:pPr>
        <w:pStyle w:val="BodyText"/>
      </w:pPr>
    </w:p>
    <w:p>
      <w:pPr>
        <w:pStyle w:val="ListParagraph"/>
        <w:numPr>
          <w:ilvl w:val="1"/>
          <w:numId w:val="7"/>
        </w:numPr>
        <w:tabs>
          <w:tab w:pos="769" w:val="left" w:leader="none"/>
        </w:tabs>
        <w:spacing w:line="240" w:lineRule="auto" w:before="0" w:after="0"/>
        <w:ind w:left="232" w:right="1331" w:firstLine="0"/>
        <w:jc w:val="both"/>
        <w:rPr>
          <w:sz w:val="24"/>
        </w:rPr>
      </w:pPr>
      <w:r>
        <w:rPr>
          <w:sz w:val="24"/>
        </w:rPr>
        <w:t>Reducir significativamente todas las formas de violencia y las correspondientes tasas de mortalidad en todo el</w:t>
      </w:r>
      <w:r>
        <w:rPr>
          <w:spacing w:val="-7"/>
          <w:sz w:val="24"/>
        </w:rPr>
        <w:t> </w:t>
      </w:r>
      <w:r>
        <w:rPr>
          <w:sz w:val="24"/>
        </w:rPr>
        <w:t>mundo.</w:t>
      </w:r>
    </w:p>
    <w:p>
      <w:pPr>
        <w:pStyle w:val="BodyText"/>
      </w:pPr>
    </w:p>
    <w:p>
      <w:pPr>
        <w:pStyle w:val="ListParagraph"/>
        <w:numPr>
          <w:ilvl w:val="1"/>
          <w:numId w:val="7"/>
        </w:numPr>
        <w:tabs>
          <w:tab w:pos="769" w:val="left" w:leader="none"/>
        </w:tabs>
        <w:spacing w:line="240" w:lineRule="auto" w:before="0" w:after="0"/>
        <w:ind w:left="232" w:right="1321" w:firstLine="0"/>
        <w:jc w:val="both"/>
        <w:rPr>
          <w:sz w:val="24"/>
        </w:rPr>
      </w:pPr>
      <w:r>
        <w:rPr>
          <w:sz w:val="24"/>
        </w:rPr>
        <w:t>Poner fin al maltrato, la explotación, la trata y todas las formas de violencia y tortura contra los</w:t>
      </w:r>
      <w:r>
        <w:rPr>
          <w:spacing w:val="-2"/>
          <w:sz w:val="24"/>
        </w:rPr>
        <w:t> </w:t>
      </w:r>
      <w:r>
        <w:rPr>
          <w:sz w:val="24"/>
        </w:rPr>
        <w:t>niños.</w:t>
      </w:r>
    </w:p>
    <w:p>
      <w:pPr>
        <w:pStyle w:val="BodyText"/>
      </w:pPr>
    </w:p>
    <w:p>
      <w:pPr>
        <w:pStyle w:val="BodyText"/>
        <w:ind w:left="232" w:right="1322"/>
        <w:jc w:val="both"/>
      </w:pPr>
      <w:r>
        <w:rPr/>
        <w:t>16.4 De aquí a 2030, reducir significativamente las corrientes financieras y de armas ilíci- tas, fortalecer la recuperación y devolución de los activos robados y luchar contra todas las formas de delincuencia organizada.</w:t>
      </w:r>
    </w:p>
    <w:sectPr>
      <w:pgSz w:w="12240" w:h="15840"/>
      <w:pgMar w:header="0" w:footer="897" w:top="820" w:bottom="1160" w:left="9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31.859985pt;margin-top:732.162659pt;width:16pt;height:15.3pt;mso-position-horizontal-relative:page;mso-position-vertical-relative:page;z-index:-25262796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6"/>
      <w:numFmt w:val="decimal"/>
      <w:lvlText w:val="%1"/>
      <w:lvlJc w:val="left"/>
      <w:pPr>
        <w:ind w:left="232" w:hanging="536"/>
        <w:jc w:val="left"/>
      </w:pPr>
      <w:rPr>
        <w:rFonts w:hint="default"/>
        <w:lang w:val="es-ES" w:eastAsia="es-ES" w:bidi="es-ES"/>
      </w:rPr>
    </w:lvl>
    <w:lvl w:ilvl="1">
      <w:start w:val="1"/>
      <w:numFmt w:val="decimal"/>
      <w:lvlText w:val="%1.%2"/>
      <w:lvlJc w:val="left"/>
      <w:pPr>
        <w:ind w:left="232" w:hanging="536"/>
        <w:jc w:val="left"/>
      </w:pPr>
      <w:rPr>
        <w:rFonts w:hint="default" w:ascii="Arial" w:hAnsi="Arial" w:eastAsia="Arial" w:cs="Arial"/>
        <w:spacing w:val="-4"/>
        <w:w w:val="99"/>
        <w:sz w:val="24"/>
        <w:szCs w:val="24"/>
        <w:lang w:val="es-ES" w:eastAsia="es-ES" w:bidi="es-ES"/>
      </w:rPr>
    </w:lvl>
    <w:lvl w:ilvl="2">
      <w:start w:val="0"/>
      <w:numFmt w:val="bullet"/>
      <w:lvlText w:val="•"/>
      <w:lvlJc w:val="left"/>
      <w:pPr>
        <w:ind w:left="2460" w:hanging="536"/>
      </w:pPr>
      <w:rPr>
        <w:rFonts w:hint="default"/>
        <w:lang w:val="es-ES" w:eastAsia="es-ES" w:bidi="es-ES"/>
      </w:rPr>
    </w:lvl>
    <w:lvl w:ilvl="3">
      <w:start w:val="0"/>
      <w:numFmt w:val="bullet"/>
      <w:lvlText w:val="•"/>
      <w:lvlJc w:val="left"/>
      <w:pPr>
        <w:ind w:left="3570" w:hanging="536"/>
      </w:pPr>
      <w:rPr>
        <w:rFonts w:hint="default"/>
        <w:lang w:val="es-ES" w:eastAsia="es-ES" w:bidi="es-ES"/>
      </w:rPr>
    </w:lvl>
    <w:lvl w:ilvl="4">
      <w:start w:val="0"/>
      <w:numFmt w:val="bullet"/>
      <w:lvlText w:val="•"/>
      <w:lvlJc w:val="left"/>
      <w:pPr>
        <w:ind w:left="4680" w:hanging="536"/>
      </w:pPr>
      <w:rPr>
        <w:rFonts w:hint="default"/>
        <w:lang w:val="es-ES" w:eastAsia="es-ES" w:bidi="es-ES"/>
      </w:rPr>
    </w:lvl>
    <w:lvl w:ilvl="5">
      <w:start w:val="0"/>
      <w:numFmt w:val="bullet"/>
      <w:lvlText w:val="•"/>
      <w:lvlJc w:val="left"/>
      <w:pPr>
        <w:ind w:left="5790" w:hanging="536"/>
      </w:pPr>
      <w:rPr>
        <w:rFonts w:hint="default"/>
        <w:lang w:val="es-ES" w:eastAsia="es-ES" w:bidi="es-ES"/>
      </w:rPr>
    </w:lvl>
    <w:lvl w:ilvl="6">
      <w:start w:val="0"/>
      <w:numFmt w:val="bullet"/>
      <w:lvlText w:val="•"/>
      <w:lvlJc w:val="left"/>
      <w:pPr>
        <w:ind w:left="6900" w:hanging="536"/>
      </w:pPr>
      <w:rPr>
        <w:rFonts w:hint="default"/>
        <w:lang w:val="es-ES" w:eastAsia="es-ES" w:bidi="es-ES"/>
      </w:rPr>
    </w:lvl>
    <w:lvl w:ilvl="7">
      <w:start w:val="0"/>
      <w:numFmt w:val="bullet"/>
      <w:lvlText w:val="•"/>
      <w:lvlJc w:val="left"/>
      <w:pPr>
        <w:ind w:left="8010" w:hanging="536"/>
      </w:pPr>
      <w:rPr>
        <w:rFonts w:hint="default"/>
        <w:lang w:val="es-ES" w:eastAsia="es-ES" w:bidi="es-ES"/>
      </w:rPr>
    </w:lvl>
    <w:lvl w:ilvl="8">
      <w:start w:val="0"/>
      <w:numFmt w:val="bullet"/>
      <w:lvlText w:val="•"/>
      <w:lvlJc w:val="left"/>
      <w:pPr>
        <w:ind w:left="9120" w:hanging="536"/>
      </w:pPr>
      <w:rPr>
        <w:rFonts w:hint="default"/>
        <w:lang w:val="es-ES" w:eastAsia="es-ES" w:bidi="es-ES"/>
      </w:rPr>
    </w:lvl>
  </w:abstractNum>
  <w:abstractNum w:abstractNumId="5">
    <w:multiLevelType w:val="hybridMultilevel"/>
    <w:lvl w:ilvl="0">
      <w:start w:val="0"/>
      <w:numFmt w:val="bullet"/>
      <w:lvlText w:val=""/>
      <w:lvlJc w:val="left"/>
      <w:pPr>
        <w:ind w:left="830" w:hanging="360"/>
      </w:pPr>
      <w:rPr>
        <w:rFonts w:hint="default" w:ascii="Symbol" w:hAnsi="Symbol" w:eastAsia="Symbol" w:cs="Symbol"/>
        <w:w w:val="100"/>
        <w:sz w:val="24"/>
        <w:szCs w:val="24"/>
        <w:lang w:val="es-ES" w:eastAsia="es-ES" w:bidi="es-ES"/>
      </w:rPr>
    </w:lvl>
    <w:lvl w:ilvl="1">
      <w:start w:val="0"/>
      <w:numFmt w:val="bullet"/>
      <w:lvlText w:val="•"/>
      <w:lvlJc w:val="left"/>
      <w:pPr>
        <w:ind w:left="1445" w:hanging="360"/>
      </w:pPr>
      <w:rPr>
        <w:rFonts w:hint="default"/>
        <w:lang w:val="es-ES" w:eastAsia="es-ES" w:bidi="es-ES"/>
      </w:rPr>
    </w:lvl>
    <w:lvl w:ilvl="2">
      <w:start w:val="0"/>
      <w:numFmt w:val="bullet"/>
      <w:lvlText w:val="•"/>
      <w:lvlJc w:val="left"/>
      <w:pPr>
        <w:ind w:left="2051" w:hanging="360"/>
      </w:pPr>
      <w:rPr>
        <w:rFonts w:hint="default"/>
        <w:lang w:val="es-ES" w:eastAsia="es-ES" w:bidi="es-ES"/>
      </w:rPr>
    </w:lvl>
    <w:lvl w:ilvl="3">
      <w:start w:val="0"/>
      <w:numFmt w:val="bullet"/>
      <w:lvlText w:val="•"/>
      <w:lvlJc w:val="left"/>
      <w:pPr>
        <w:ind w:left="2657" w:hanging="360"/>
      </w:pPr>
      <w:rPr>
        <w:rFonts w:hint="default"/>
        <w:lang w:val="es-ES" w:eastAsia="es-ES" w:bidi="es-ES"/>
      </w:rPr>
    </w:lvl>
    <w:lvl w:ilvl="4">
      <w:start w:val="0"/>
      <w:numFmt w:val="bullet"/>
      <w:lvlText w:val="•"/>
      <w:lvlJc w:val="left"/>
      <w:pPr>
        <w:ind w:left="3262" w:hanging="360"/>
      </w:pPr>
      <w:rPr>
        <w:rFonts w:hint="default"/>
        <w:lang w:val="es-ES" w:eastAsia="es-ES" w:bidi="es-ES"/>
      </w:rPr>
    </w:lvl>
    <w:lvl w:ilvl="5">
      <w:start w:val="0"/>
      <w:numFmt w:val="bullet"/>
      <w:lvlText w:val="•"/>
      <w:lvlJc w:val="left"/>
      <w:pPr>
        <w:ind w:left="3868" w:hanging="360"/>
      </w:pPr>
      <w:rPr>
        <w:rFonts w:hint="default"/>
        <w:lang w:val="es-ES" w:eastAsia="es-ES" w:bidi="es-ES"/>
      </w:rPr>
    </w:lvl>
    <w:lvl w:ilvl="6">
      <w:start w:val="0"/>
      <w:numFmt w:val="bullet"/>
      <w:lvlText w:val="•"/>
      <w:lvlJc w:val="left"/>
      <w:pPr>
        <w:ind w:left="4474" w:hanging="360"/>
      </w:pPr>
      <w:rPr>
        <w:rFonts w:hint="default"/>
        <w:lang w:val="es-ES" w:eastAsia="es-ES" w:bidi="es-ES"/>
      </w:rPr>
    </w:lvl>
    <w:lvl w:ilvl="7">
      <w:start w:val="0"/>
      <w:numFmt w:val="bullet"/>
      <w:lvlText w:val="•"/>
      <w:lvlJc w:val="left"/>
      <w:pPr>
        <w:ind w:left="5079" w:hanging="360"/>
      </w:pPr>
      <w:rPr>
        <w:rFonts w:hint="default"/>
        <w:lang w:val="es-ES" w:eastAsia="es-ES" w:bidi="es-ES"/>
      </w:rPr>
    </w:lvl>
    <w:lvl w:ilvl="8">
      <w:start w:val="0"/>
      <w:numFmt w:val="bullet"/>
      <w:lvlText w:val="•"/>
      <w:lvlJc w:val="left"/>
      <w:pPr>
        <w:ind w:left="5685" w:hanging="360"/>
      </w:pPr>
      <w:rPr>
        <w:rFonts w:hint="default"/>
        <w:lang w:val="es-ES" w:eastAsia="es-ES" w:bidi="es-ES"/>
      </w:rPr>
    </w:lvl>
  </w:abstractNum>
  <w:abstractNum w:abstractNumId="4">
    <w:multiLevelType w:val="hybridMultilevel"/>
    <w:lvl w:ilvl="0">
      <w:start w:val="1"/>
      <w:numFmt w:val="decimal"/>
      <w:lvlText w:val="%1)"/>
      <w:lvlJc w:val="left"/>
      <w:pPr>
        <w:ind w:left="109" w:hanging="287"/>
        <w:jc w:val="left"/>
      </w:pPr>
      <w:rPr>
        <w:rFonts w:hint="default"/>
        <w:w w:val="99"/>
        <w:lang w:val="es-ES" w:eastAsia="es-ES" w:bidi="es-ES"/>
      </w:rPr>
    </w:lvl>
    <w:lvl w:ilvl="1">
      <w:start w:val="0"/>
      <w:numFmt w:val="bullet"/>
      <w:lvlText w:val="•"/>
      <w:lvlJc w:val="left"/>
      <w:pPr>
        <w:ind w:left="779" w:hanging="287"/>
      </w:pPr>
      <w:rPr>
        <w:rFonts w:hint="default"/>
        <w:lang w:val="es-ES" w:eastAsia="es-ES" w:bidi="es-ES"/>
      </w:rPr>
    </w:lvl>
    <w:lvl w:ilvl="2">
      <w:start w:val="0"/>
      <w:numFmt w:val="bullet"/>
      <w:lvlText w:val="•"/>
      <w:lvlJc w:val="left"/>
      <w:pPr>
        <w:ind w:left="1459" w:hanging="287"/>
      </w:pPr>
      <w:rPr>
        <w:rFonts w:hint="default"/>
        <w:lang w:val="es-ES" w:eastAsia="es-ES" w:bidi="es-ES"/>
      </w:rPr>
    </w:lvl>
    <w:lvl w:ilvl="3">
      <w:start w:val="0"/>
      <w:numFmt w:val="bullet"/>
      <w:lvlText w:val="•"/>
      <w:lvlJc w:val="left"/>
      <w:pPr>
        <w:ind w:left="2139" w:hanging="287"/>
      </w:pPr>
      <w:rPr>
        <w:rFonts w:hint="default"/>
        <w:lang w:val="es-ES" w:eastAsia="es-ES" w:bidi="es-ES"/>
      </w:rPr>
    </w:lvl>
    <w:lvl w:ilvl="4">
      <w:start w:val="0"/>
      <w:numFmt w:val="bullet"/>
      <w:lvlText w:val="•"/>
      <w:lvlJc w:val="left"/>
      <w:pPr>
        <w:ind w:left="2818" w:hanging="287"/>
      </w:pPr>
      <w:rPr>
        <w:rFonts w:hint="default"/>
        <w:lang w:val="es-ES" w:eastAsia="es-ES" w:bidi="es-ES"/>
      </w:rPr>
    </w:lvl>
    <w:lvl w:ilvl="5">
      <w:start w:val="0"/>
      <w:numFmt w:val="bullet"/>
      <w:lvlText w:val="•"/>
      <w:lvlJc w:val="left"/>
      <w:pPr>
        <w:ind w:left="3498" w:hanging="287"/>
      </w:pPr>
      <w:rPr>
        <w:rFonts w:hint="default"/>
        <w:lang w:val="es-ES" w:eastAsia="es-ES" w:bidi="es-ES"/>
      </w:rPr>
    </w:lvl>
    <w:lvl w:ilvl="6">
      <w:start w:val="0"/>
      <w:numFmt w:val="bullet"/>
      <w:lvlText w:val="•"/>
      <w:lvlJc w:val="left"/>
      <w:pPr>
        <w:ind w:left="4178" w:hanging="287"/>
      </w:pPr>
      <w:rPr>
        <w:rFonts w:hint="default"/>
        <w:lang w:val="es-ES" w:eastAsia="es-ES" w:bidi="es-ES"/>
      </w:rPr>
    </w:lvl>
    <w:lvl w:ilvl="7">
      <w:start w:val="0"/>
      <w:numFmt w:val="bullet"/>
      <w:lvlText w:val="•"/>
      <w:lvlJc w:val="left"/>
      <w:pPr>
        <w:ind w:left="4857" w:hanging="287"/>
      </w:pPr>
      <w:rPr>
        <w:rFonts w:hint="default"/>
        <w:lang w:val="es-ES" w:eastAsia="es-ES" w:bidi="es-ES"/>
      </w:rPr>
    </w:lvl>
    <w:lvl w:ilvl="8">
      <w:start w:val="0"/>
      <w:numFmt w:val="bullet"/>
      <w:lvlText w:val="•"/>
      <w:lvlJc w:val="left"/>
      <w:pPr>
        <w:ind w:left="5537" w:hanging="287"/>
      </w:pPr>
      <w:rPr>
        <w:rFonts w:hint="default"/>
        <w:lang w:val="es-ES" w:eastAsia="es-ES" w:bidi="es-ES"/>
      </w:rPr>
    </w:lvl>
  </w:abstractNum>
  <w:abstractNum w:abstractNumId="3">
    <w:multiLevelType w:val="hybridMultilevel"/>
    <w:lvl w:ilvl="0">
      <w:start w:val="0"/>
      <w:numFmt w:val="bullet"/>
      <w:lvlText w:val=""/>
      <w:lvlJc w:val="left"/>
      <w:pPr>
        <w:ind w:left="830" w:hanging="360"/>
      </w:pPr>
      <w:rPr>
        <w:rFonts w:hint="default" w:ascii="Symbol" w:hAnsi="Symbol" w:eastAsia="Symbol" w:cs="Symbol"/>
        <w:w w:val="100"/>
        <w:sz w:val="24"/>
        <w:szCs w:val="24"/>
        <w:lang w:val="es-ES" w:eastAsia="es-ES" w:bidi="es-ES"/>
      </w:rPr>
    </w:lvl>
    <w:lvl w:ilvl="1">
      <w:start w:val="0"/>
      <w:numFmt w:val="bullet"/>
      <w:lvlText w:val="•"/>
      <w:lvlJc w:val="left"/>
      <w:pPr>
        <w:ind w:left="1445" w:hanging="360"/>
      </w:pPr>
      <w:rPr>
        <w:rFonts w:hint="default"/>
        <w:lang w:val="es-ES" w:eastAsia="es-ES" w:bidi="es-ES"/>
      </w:rPr>
    </w:lvl>
    <w:lvl w:ilvl="2">
      <w:start w:val="0"/>
      <w:numFmt w:val="bullet"/>
      <w:lvlText w:val="•"/>
      <w:lvlJc w:val="left"/>
      <w:pPr>
        <w:ind w:left="2051" w:hanging="360"/>
      </w:pPr>
      <w:rPr>
        <w:rFonts w:hint="default"/>
        <w:lang w:val="es-ES" w:eastAsia="es-ES" w:bidi="es-ES"/>
      </w:rPr>
    </w:lvl>
    <w:lvl w:ilvl="3">
      <w:start w:val="0"/>
      <w:numFmt w:val="bullet"/>
      <w:lvlText w:val="•"/>
      <w:lvlJc w:val="left"/>
      <w:pPr>
        <w:ind w:left="2657" w:hanging="360"/>
      </w:pPr>
      <w:rPr>
        <w:rFonts w:hint="default"/>
        <w:lang w:val="es-ES" w:eastAsia="es-ES" w:bidi="es-ES"/>
      </w:rPr>
    </w:lvl>
    <w:lvl w:ilvl="4">
      <w:start w:val="0"/>
      <w:numFmt w:val="bullet"/>
      <w:lvlText w:val="•"/>
      <w:lvlJc w:val="left"/>
      <w:pPr>
        <w:ind w:left="3262" w:hanging="360"/>
      </w:pPr>
      <w:rPr>
        <w:rFonts w:hint="default"/>
        <w:lang w:val="es-ES" w:eastAsia="es-ES" w:bidi="es-ES"/>
      </w:rPr>
    </w:lvl>
    <w:lvl w:ilvl="5">
      <w:start w:val="0"/>
      <w:numFmt w:val="bullet"/>
      <w:lvlText w:val="•"/>
      <w:lvlJc w:val="left"/>
      <w:pPr>
        <w:ind w:left="3868" w:hanging="360"/>
      </w:pPr>
      <w:rPr>
        <w:rFonts w:hint="default"/>
        <w:lang w:val="es-ES" w:eastAsia="es-ES" w:bidi="es-ES"/>
      </w:rPr>
    </w:lvl>
    <w:lvl w:ilvl="6">
      <w:start w:val="0"/>
      <w:numFmt w:val="bullet"/>
      <w:lvlText w:val="•"/>
      <w:lvlJc w:val="left"/>
      <w:pPr>
        <w:ind w:left="4474" w:hanging="360"/>
      </w:pPr>
      <w:rPr>
        <w:rFonts w:hint="default"/>
        <w:lang w:val="es-ES" w:eastAsia="es-ES" w:bidi="es-ES"/>
      </w:rPr>
    </w:lvl>
    <w:lvl w:ilvl="7">
      <w:start w:val="0"/>
      <w:numFmt w:val="bullet"/>
      <w:lvlText w:val="•"/>
      <w:lvlJc w:val="left"/>
      <w:pPr>
        <w:ind w:left="5079" w:hanging="360"/>
      </w:pPr>
      <w:rPr>
        <w:rFonts w:hint="default"/>
        <w:lang w:val="es-ES" w:eastAsia="es-ES" w:bidi="es-ES"/>
      </w:rPr>
    </w:lvl>
    <w:lvl w:ilvl="8">
      <w:start w:val="0"/>
      <w:numFmt w:val="bullet"/>
      <w:lvlText w:val="•"/>
      <w:lvlJc w:val="left"/>
      <w:pPr>
        <w:ind w:left="5685" w:hanging="360"/>
      </w:pPr>
      <w:rPr>
        <w:rFonts w:hint="default"/>
        <w:lang w:val="es-ES" w:eastAsia="es-ES" w:bidi="es-ES"/>
      </w:rPr>
    </w:lvl>
  </w:abstractNum>
  <w:abstractNum w:abstractNumId="2">
    <w:multiLevelType w:val="hybridMultilevel"/>
    <w:lvl w:ilvl="0">
      <w:start w:val="0"/>
      <w:numFmt w:val="bullet"/>
      <w:lvlText w:val=""/>
      <w:lvlJc w:val="left"/>
      <w:pPr>
        <w:ind w:left="830" w:hanging="360"/>
      </w:pPr>
      <w:rPr>
        <w:rFonts w:hint="default" w:ascii="Symbol" w:hAnsi="Symbol" w:eastAsia="Symbol" w:cs="Symbol"/>
        <w:w w:val="100"/>
        <w:sz w:val="24"/>
        <w:szCs w:val="24"/>
        <w:lang w:val="es-ES" w:eastAsia="es-ES" w:bidi="es-ES"/>
      </w:rPr>
    </w:lvl>
    <w:lvl w:ilvl="1">
      <w:start w:val="0"/>
      <w:numFmt w:val="bullet"/>
      <w:lvlText w:val="•"/>
      <w:lvlJc w:val="left"/>
      <w:pPr>
        <w:ind w:left="1445" w:hanging="360"/>
      </w:pPr>
      <w:rPr>
        <w:rFonts w:hint="default"/>
        <w:lang w:val="es-ES" w:eastAsia="es-ES" w:bidi="es-ES"/>
      </w:rPr>
    </w:lvl>
    <w:lvl w:ilvl="2">
      <w:start w:val="0"/>
      <w:numFmt w:val="bullet"/>
      <w:lvlText w:val="•"/>
      <w:lvlJc w:val="left"/>
      <w:pPr>
        <w:ind w:left="2051" w:hanging="360"/>
      </w:pPr>
      <w:rPr>
        <w:rFonts w:hint="default"/>
        <w:lang w:val="es-ES" w:eastAsia="es-ES" w:bidi="es-ES"/>
      </w:rPr>
    </w:lvl>
    <w:lvl w:ilvl="3">
      <w:start w:val="0"/>
      <w:numFmt w:val="bullet"/>
      <w:lvlText w:val="•"/>
      <w:lvlJc w:val="left"/>
      <w:pPr>
        <w:ind w:left="2657" w:hanging="360"/>
      </w:pPr>
      <w:rPr>
        <w:rFonts w:hint="default"/>
        <w:lang w:val="es-ES" w:eastAsia="es-ES" w:bidi="es-ES"/>
      </w:rPr>
    </w:lvl>
    <w:lvl w:ilvl="4">
      <w:start w:val="0"/>
      <w:numFmt w:val="bullet"/>
      <w:lvlText w:val="•"/>
      <w:lvlJc w:val="left"/>
      <w:pPr>
        <w:ind w:left="3262" w:hanging="360"/>
      </w:pPr>
      <w:rPr>
        <w:rFonts w:hint="default"/>
        <w:lang w:val="es-ES" w:eastAsia="es-ES" w:bidi="es-ES"/>
      </w:rPr>
    </w:lvl>
    <w:lvl w:ilvl="5">
      <w:start w:val="0"/>
      <w:numFmt w:val="bullet"/>
      <w:lvlText w:val="•"/>
      <w:lvlJc w:val="left"/>
      <w:pPr>
        <w:ind w:left="3868" w:hanging="360"/>
      </w:pPr>
      <w:rPr>
        <w:rFonts w:hint="default"/>
        <w:lang w:val="es-ES" w:eastAsia="es-ES" w:bidi="es-ES"/>
      </w:rPr>
    </w:lvl>
    <w:lvl w:ilvl="6">
      <w:start w:val="0"/>
      <w:numFmt w:val="bullet"/>
      <w:lvlText w:val="•"/>
      <w:lvlJc w:val="left"/>
      <w:pPr>
        <w:ind w:left="4474" w:hanging="360"/>
      </w:pPr>
      <w:rPr>
        <w:rFonts w:hint="default"/>
        <w:lang w:val="es-ES" w:eastAsia="es-ES" w:bidi="es-ES"/>
      </w:rPr>
    </w:lvl>
    <w:lvl w:ilvl="7">
      <w:start w:val="0"/>
      <w:numFmt w:val="bullet"/>
      <w:lvlText w:val="•"/>
      <w:lvlJc w:val="left"/>
      <w:pPr>
        <w:ind w:left="5079" w:hanging="360"/>
      </w:pPr>
      <w:rPr>
        <w:rFonts w:hint="default"/>
        <w:lang w:val="es-ES" w:eastAsia="es-ES" w:bidi="es-ES"/>
      </w:rPr>
    </w:lvl>
    <w:lvl w:ilvl="8">
      <w:start w:val="0"/>
      <w:numFmt w:val="bullet"/>
      <w:lvlText w:val="•"/>
      <w:lvlJc w:val="left"/>
      <w:pPr>
        <w:ind w:left="5685" w:hanging="360"/>
      </w:pPr>
      <w:rPr>
        <w:rFonts w:hint="default"/>
        <w:lang w:val="es-ES" w:eastAsia="es-ES" w:bidi="es-ES"/>
      </w:rPr>
    </w:lvl>
  </w:abstractNum>
  <w:abstractNum w:abstractNumId="1">
    <w:multiLevelType w:val="hybridMultilevel"/>
    <w:lvl w:ilvl="0">
      <w:start w:val="0"/>
      <w:numFmt w:val="bullet"/>
      <w:lvlText w:val=""/>
      <w:lvlJc w:val="left"/>
      <w:pPr>
        <w:ind w:left="830" w:hanging="360"/>
      </w:pPr>
      <w:rPr>
        <w:rFonts w:hint="default" w:ascii="Symbol" w:hAnsi="Symbol" w:eastAsia="Symbol" w:cs="Symbol"/>
        <w:w w:val="100"/>
        <w:sz w:val="24"/>
        <w:szCs w:val="24"/>
        <w:lang w:val="es-ES" w:eastAsia="es-ES" w:bidi="es-ES"/>
      </w:rPr>
    </w:lvl>
    <w:lvl w:ilvl="1">
      <w:start w:val="0"/>
      <w:numFmt w:val="bullet"/>
      <w:lvlText w:val="•"/>
      <w:lvlJc w:val="left"/>
      <w:pPr>
        <w:ind w:left="1445" w:hanging="360"/>
      </w:pPr>
      <w:rPr>
        <w:rFonts w:hint="default"/>
        <w:lang w:val="es-ES" w:eastAsia="es-ES" w:bidi="es-ES"/>
      </w:rPr>
    </w:lvl>
    <w:lvl w:ilvl="2">
      <w:start w:val="0"/>
      <w:numFmt w:val="bullet"/>
      <w:lvlText w:val="•"/>
      <w:lvlJc w:val="left"/>
      <w:pPr>
        <w:ind w:left="2051" w:hanging="360"/>
      </w:pPr>
      <w:rPr>
        <w:rFonts w:hint="default"/>
        <w:lang w:val="es-ES" w:eastAsia="es-ES" w:bidi="es-ES"/>
      </w:rPr>
    </w:lvl>
    <w:lvl w:ilvl="3">
      <w:start w:val="0"/>
      <w:numFmt w:val="bullet"/>
      <w:lvlText w:val="•"/>
      <w:lvlJc w:val="left"/>
      <w:pPr>
        <w:ind w:left="2657" w:hanging="360"/>
      </w:pPr>
      <w:rPr>
        <w:rFonts w:hint="default"/>
        <w:lang w:val="es-ES" w:eastAsia="es-ES" w:bidi="es-ES"/>
      </w:rPr>
    </w:lvl>
    <w:lvl w:ilvl="4">
      <w:start w:val="0"/>
      <w:numFmt w:val="bullet"/>
      <w:lvlText w:val="•"/>
      <w:lvlJc w:val="left"/>
      <w:pPr>
        <w:ind w:left="3262" w:hanging="360"/>
      </w:pPr>
      <w:rPr>
        <w:rFonts w:hint="default"/>
        <w:lang w:val="es-ES" w:eastAsia="es-ES" w:bidi="es-ES"/>
      </w:rPr>
    </w:lvl>
    <w:lvl w:ilvl="5">
      <w:start w:val="0"/>
      <w:numFmt w:val="bullet"/>
      <w:lvlText w:val="•"/>
      <w:lvlJc w:val="left"/>
      <w:pPr>
        <w:ind w:left="3868" w:hanging="360"/>
      </w:pPr>
      <w:rPr>
        <w:rFonts w:hint="default"/>
        <w:lang w:val="es-ES" w:eastAsia="es-ES" w:bidi="es-ES"/>
      </w:rPr>
    </w:lvl>
    <w:lvl w:ilvl="6">
      <w:start w:val="0"/>
      <w:numFmt w:val="bullet"/>
      <w:lvlText w:val="•"/>
      <w:lvlJc w:val="left"/>
      <w:pPr>
        <w:ind w:left="4474" w:hanging="360"/>
      </w:pPr>
      <w:rPr>
        <w:rFonts w:hint="default"/>
        <w:lang w:val="es-ES" w:eastAsia="es-ES" w:bidi="es-ES"/>
      </w:rPr>
    </w:lvl>
    <w:lvl w:ilvl="7">
      <w:start w:val="0"/>
      <w:numFmt w:val="bullet"/>
      <w:lvlText w:val="•"/>
      <w:lvlJc w:val="left"/>
      <w:pPr>
        <w:ind w:left="5079" w:hanging="360"/>
      </w:pPr>
      <w:rPr>
        <w:rFonts w:hint="default"/>
        <w:lang w:val="es-ES" w:eastAsia="es-ES" w:bidi="es-ES"/>
      </w:rPr>
    </w:lvl>
    <w:lvl w:ilvl="8">
      <w:start w:val="0"/>
      <w:numFmt w:val="bullet"/>
      <w:lvlText w:val="•"/>
      <w:lvlJc w:val="left"/>
      <w:pPr>
        <w:ind w:left="5685" w:hanging="360"/>
      </w:pPr>
      <w:rPr>
        <w:rFonts w:hint="default"/>
        <w:lang w:val="es-ES" w:eastAsia="es-ES" w:bidi="es-ES"/>
      </w:rPr>
    </w:lvl>
  </w:abstractNum>
  <w:abstractNum w:abstractNumId="0">
    <w:multiLevelType w:val="hybridMultilevel"/>
    <w:lvl w:ilvl="0">
      <w:start w:val="0"/>
      <w:numFmt w:val="bullet"/>
      <w:lvlText w:val=""/>
      <w:lvlJc w:val="left"/>
      <w:pPr>
        <w:ind w:left="1190" w:hanging="360"/>
      </w:pPr>
      <w:rPr>
        <w:rFonts w:hint="default" w:ascii="Symbol" w:hAnsi="Symbol" w:eastAsia="Symbol" w:cs="Symbol"/>
        <w:w w:val="100"/>
        <w:sz w:val="24"/>
        <w:szCs w:val="24"/>
        <w:lang w:val="es-ES" w:eastAsia="es-ES" w:bidi="es-ES"/>
      </w:rPr>
    </w:lvl>
    <w:lvl w:ilvl="1">
      <w:start w:val="0"/>
      <w:numFmt w:val="bullet"/>
      <w:lvlText w:val="•"/>
      <w:lvlJc w:val="left"/>
      <w:pPr>
        <w:ind w:left="1782" w:hanging="360"/>
      </w:pPr>
      <w:rPr>
        <w:rFonts w:hint="default"/>
        <w:lang w:val="es-ES" w:eastAsia="es-ES" w:bidi="es-ES"/>
      </w:rPr>
    </w:lvl>
    <w:lvl w:ilvl="2">
      <w:start w:val="0"/>
      <w:numFmt w:val="bullet"/>
      <w:lvlText w:val="•"/>
      <w:lvlJc w:val="left"/>
      <w:pPr>
        <w:ind w:left="2365" w:hanging="360"/>
      </w:pPr>
      <w:rPr>
        <w:rFonts w:hint="default"/>
        <w:lang w:val="es-ES" w:eastAsia="es-ES" w:bidi="es-ES"/>
      </w:rPr>
    </w:lvl>
    <w:lvl w:ilvl="3">
      <w:start w:val="0"/>
      <w:numFmt w:val="bullet"/>
      <w:lvlText w:val="•"/>
      <w:lvlJc w:val="left"/>
      <w:pPr>
        <w:ind w:left="2948" w:hanging="360"/>
      </w:pPr>
      <w:rPr>
        <w:rFonts w:hint="default"/>
        <w:lang w:val="es-ES" w:eastAsia="es-ES" w:bidi="es-ES"/>
      </w:rPr>
    </w:lvl>
    <w:lvl w:ilvl="4">
      <w:start w:val="0"/>
      <w:numFmt w:val="bullet"/>
      <w:lvlText w:val="•"/>
      <w:lvlJc w:val="left"/>
      <w:pPr>
        <w:ind w:left="3531" w:hanging="360"/>
      </w:pPr>
      <w:rPr>
        <w:rFonts w:hint="default"/>
        <w:lang w:val="es-ES" w:eastAsia="es-ES" w:bidi="es-ES"/>
      </w:rPr>
    </w:lvl>
    <w:lvl w:ilvl="5">
      <w:start w:val="0"/>
      <w:numFmt w:val="bullet"/>
      <w:lvlText w:val="•"/>
      <w:lvlJc w:val="left"/>
      <w:pPr>
        <w:ind w:left="4114" w:hanging="360"/>
      </w:pPr>
      <w:rPr>
        <w:rFonts w:hint="default"/>
        <w:lang w:val="es-ES" w:eastAsia="es-ES" w:bidi="es-ES"/>
      </w:rPr>
    </w:lvl>
    <w:lvl w:ilvl="6">
      <w:start w:val="0"/>
      <w:numFmt w:val="bullet"/>
      <w:lvlText w:val="•"/>
      <w:lvlJc w:val="left"/>
      <w:pPr>
        <w:ind w:left="4697" w:hanging="360"/>
      </w:pPr>
      <w:rPr>
        <w:rFonts w:hint="default"/>
        <w:lang w:val="es-ES" w:eastAsia="es-ES" w:bidi="es-ES"/>
      </w:rPr>
    </w:lvl>
    <w:lvl w:ilvl="7">
      <w:start w:val="0"/>
      <w:numFmt w:val="bullet"/>
      <w:lvlText w:val="•"/>
      <w:lvlJc w:val="left"/>
      <w:pPr>
        <w:ind w:left="5280" w:hanging="360"/>
      </w:pPr>
      <w:rPr>
        <w:rFonts w:hint="default"/>
        <w:lang w:val="es-ES" w:eastAsia="es-ES" w:bidi="es-ES"/>
      </w:rPr>
    </w:lvl>
    <w:lvl w:ilvl="8">
      <w:start w:val="0"/>
      <w:numFmt w:val="bullet"/>
      <w:lvlText w:val="•"/>
      <w:lvlJc w:val="left"/>
      <w:pPr>
        <w:ind w:left="5863" w:hanging="360"/>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716" w:right="1814"/>
      <w:jc w:val="center"/>
      <w:outlineLvl w:val="1"/>
    </w:pPr>
    <w:rPr>
      <w:rFonts w:ascii="Arial" w:hAnsi="Arial" w:eastAsia="Arial" w:cs="Arial"/>
      <w:b/>
      <w:bCs/>
      <w:sz w:val="32"/>
      <w:szCs w:val="32"/>
      <w:lang w:val="es-ES" w:eastAsia="es-ES" w:bidi="es-ES"/>
    </w:rPr>
  </w:style>
  <w:style w:styleId="Heading2" w:type="paragraph">
    <w:name w:val="Heading 2"/>
    <w:basedOn w:val="Normal"/>
    <w:uiPriority w:val="1"/>
    <w:qFormat/>
    <w:pPr>
      <w:ind w:left="232" w:right="1502"/>
      <w:outlineLvl w:val="2"/>
    </w:pPr>
    <w:rPr>
      <w:rFonts w:ascii="Arial" w:hAnsi="Arial" w:eastAsia="Arial" w:cs="Arial"/>
      <w:b/>
      <w:bCs/>
      <w:sz w:val="28"/>
      <w:szCs w:val="28"/>
      <w:lang w:val="es-ES" w:eastAsia="es-ES" w:bidi="es-ES"/>
    </w:rPr>
  </w:style>
  <w:style w:styleId="ListParagraph" w:type="paragraph">
    <w:name w:val="List Paragraph"/>
    <w:basedOn w:val="Normal"/>
    <w:uiPriority w:val="1"/>
    <w:qFormat/>
    <w:pPr>
      <w:ind w:left="232" w:right="1321"/>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Linda Alexandra</dc:creator>
  <dcterms:created xsi:type="dcterms:W3CDTF">2019-11-14T21:57:50Z</dcterms:created>
  <dcterms:modified xsi:type="dcterms:W3CDTF">2019-11-14T21:57:50Z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2010</vt:lpwstr>
  </property>
  <property fmtid="{D5CDD505-2E9C-101B-9397-08002B2CF9AE}" pid="4" name="LastSaved">
    <vt:filetime>2019-11-14T00:00:00Z</vt:filetime>
  </property>
</Properties>
</file>