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4BE0" w:rsidRDefault="007E670B">
      <w:pPr>
        <w:rPr>
          <w:b/>
        </w:rPr>
      </w:pPr>
      <w:bookmarkStart w:id="0" w:name="_GoBack"/>
      <w:bookmarkEnd w:id="0"/>
      <w:r>
        <w:rPr>
          <w:noProof/>
        </w:rPr>
        <mc:AlternateContent>
          <mc:Choice Requires="wps">
            <w:drawing>
              <wp:anchor distT="0" distB="0" distL="0" distR="0" simplePos="0" relativeHeight="251657728" behindDoc="0" locked="0" layoutInCell="1" allowOverlap="1">
                <wp:simplePos x="0" y="0"/>
                <wp:positionH relativeFrom="column">
                  <wp:posOffset>3161030</wp:posOffset>
                </wp:positionH>
                <wp:positionV relativeFrom="paragraph">
                  <wp:posOffset>-490220</wp:posOffset>
                </wp:positionV>
                <wp:extent cx="2797810" cy="1827530"/>
                <wp:effectExtent l="2540" t="635"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E0" w:rsidRDefault="00EB4BE0">
                            <w:pPr>
                              <w:tabs>
                                <w:tab w:val="left" w:pos="1485"/>
                              </w:tabs>
                              <w:jc w:val="right"/>
                              <w:rPr>
                                <w:rFonts w:ascii="Free 3 of 9" w:hAnsi="Free 3 of 9" w:cs="Tahoma"/>
                                <w:sz w:val="40"/>
                                <w:szCs w:val="40"/>
                                <w:lang/>
                              </w:rPr>
                            </w:pPr>
                            <w:r>
                              <w:rPr>
                                <w:rFonts w:ascii="Free 3 of 9" w:hAnsi="Free 3 of 9" w:cs="Tahoma"/>
                                <w:sz w:val="40"/>
                                <w:szCs w:val="40"/>
                                <w:lang/>
                              </w:rPr>
                              <w:t>*201741320100008604*</w:t>
                            </w:r>
                          </w:p>
                          <w:p w:rsidR="00EB4BE0" w:rsidRDefault="00EB4BE0">
                            <w:pPr>
                              <w:tabs>
                                <w:tab w:val="left" w:pos="1485"/>
                              </w:tabs>
                              <w:jc w:val="right"/>
                              <w:rPr>
                                <w:rFonts w:ascii="Arial" w:hAnsi="Arial" w:cs="Tahoma"/>
                                <w:b/>
                                <w:bCs/>
                                <w:sz w:val="20"/>
                                <w:szCs w:val="20"/>
                                <w:lang/>
                              </w:rPr>
                            </w:pPr>
                            <w:r>
                              <w:rPr>
                                <w:rFonts w:ascii="Arial" w:hAnsi="Arial" w:cs="Tahoma"/>
                                <w:b/>
                                <w:bCs/>
                                <w:sz w:val="20"/>
                                <w:szCs w:val="20"/>
                                <w:lang/>
                              </w:rPr>
                              <w:t>Al contestar por favor cite estos datos:</w:t>
                            </w:r>
                          </w:p>
                          <w:p w:rsidR="00EB4BE0" w:rsidRDefault="00EB4BE0">
                            <w:pPr>
                              <w:tabs>
                                <w:tab w:val="left" w:pos="1485"/>
                              </w:tabs>
                              <w:jc w:val="right"/>
                              <w:rPr>
                                <w:rFonts w:ascii="Arial" w:hAnsi="Arial" w:cs="Tahoma"/>
                                <w:b/>
                                <w:bCs/>
                                <w:sz w:val="20"/>
                                <w:szCs w:val="20"/>
                                <w:lang/>
                              </w:rPr>
                            </w:pPr>
                            <w:r>
                              <w:rPr>
                                <w:rFonts w:ascii="Arial" w:hAnsi="Arial" w:cs="Tahoma"/>
                                <w:sz w:val="20"/>
                                <w:szCs w:val="20"/>
                                <w:lang/>
                              </w:rPr>
                              <w:t xml:space="preserve">Radicado No.: </w:t>
                            </w:r>
                            <w:r>
                              <w:rPr>
                                <w:rFonts w:ascii="Arial" w:hAnsi="Arial" w:cs="Tahoma"/>
                                <w:b/>
                                <w:bCs/>
                                <w:sz w:val="20"/>
                                <w:szCs w:val="20"/>
                                <w:lang/>
                              </w:rPr>
                              <w:t>201741320100008604</w:t>
                            </w:r>
                          </w:p>
                          <w:p w:rsidR="00EB4BE0" w:rsidRDefault="00EB4BE0">
                            <w:pPr>
                              <w:tabs>
                                <w:tab w:val="left" w:pos="1485"/>
                              </w:tabs>
                              <w:jc w:val="right"/>
                              <w:rPr>
                                <w:rFonts w:ascii="Arial" w:hAnsi="Arial" w:cs="Tahoma"/>
                                <w:b/>
                                <w:bCs/>
                                <w:i/>
                                <w:sz w:val="20"/>
                                <w:szCs w:val="20"/>
                                <w:lang/>
                              </w:rPr>
                            </w:pPr>
                            <w:r>
                              <w:rPr>
                                <w:rFonts w:ascii="Arial" w:hAnsi="Arial" w:cs="Tahoma"/>
                                <w:i/>
                                <w:sz w:val="20"/>
                                <w:szCs w:val="20"/>
                                <w:lang/>
                              </w:rPr>
                              <w:t xml:space="preserve">Fecha: </w:t>
                            </w:r>
                            <w:r>
                              <w:rPr>
                                <w:rFonts w:ascii="Arial" w:hAnsi="Arial" w:cs="Tahoma"/>
                                <w:b/>
                                <w:bCs/>
                                <w:i/>
                                <w:sz w:val="20"/>
                                <w:szCs w:val="20"/>
                                <w:lang/>
                              </w:rPr>
                              <w:t>06-10-2017</w:t>
                            </w:r>
                          </w:p>
                          <w:p w:rsidR="00EB4BE0" w:rsidRDefault="00EB4BE0">
                            <w:pPr>
                              <w:tabs>
                                <w:tab w:val="left" w:pos="1485"/>
                              </w:tabs>
                              <w:jc w:val="right"/>
                              <w:rPr>
                                <w:rFonts w:ascii="Arial" w:hAnsi="Arial" w:cs="Tahoma"/>
                                <w:b/>
                                <w:bCs/>
                                <w:sz w:val="20"/>
                                <w:szCs w:val="20"/>
                                <w:lang/>
                              </w:rPr>
                            </w:pPr>
                            <w:r>
                              <w:rPr>
                                <w:rFonts w:ascii="Arial" w:hAnsi="Arial" w:cs="Tahoma"/>
                                <w:sz w:val="20"/>
                                <w:szCs w:val="20"/>
                                <w:lang/>
                              </w:rPr>
                              <w:t xml:space="preserve">TRD: </w:t>
                            </w:r>
                            <w:r>
                              <w:rPr>
                                <w:rFonts w:ascii="Arial" w:hAnsi="Arial" w:cs="Tahoma"/>
                                <w:b/>
                                <w:bCs/>
                                <w:sz w:val="20"/>
                                <w:szCs w:val="20"/>
                                <w:lang/>
                              </w:rPr>
                              <w:t>4132.010.14.12.187.000860</w:t>
                            </w:r>
                          </w:p>
                          <w:p w:rsidR="00EB4BE0" w:rsidRDefault="00EB4BE0">
                            <w:pPr>
                              <w:tabs>
                                <w:tab w:val="left" w:pos="1485"/>
                              </w:tabs>
                              <w:jc w:val="right"/>
                              <w:rPr>
                                <w:rFonts w:ascii="Arial" w:hAnsi="Arial" w:cs="Tahoma"/>
                                <w:b/>
                                <w:bCs/>
                                <w:sz w:val="20"/>
                                <w:szCs w:val="20"/>
                                <w:lang w:val="es-ES"/>
                              </w:rPr>
                            </w:pPr>
                            <w:r>
                              <w:rPr>
                                <w:rFonts w:ascii="Arial" w:hAnsi="Arial" w:cs="Tahoma"/>
                                <w:bCs/>
                                <w:sz w:val="20"/>
                                <w:szCs w:val="20"/>
                                <w:lang w:val="es-ES"/>
                              </w:rPr>
                              <w:t>Rad. Padre:</w:t>
                            </w:r>
                            <w:r>
                              <w:rPr>
                                <w:rFonts w:ascii="Arial" w:hAnsi="Arial" w:cs="Tahoma"/>
                                <w:b/>
                                <w:bCs/>
                                <w:sz w:val="20"/>
                                <w:szCs w:val="20"/>
                                <w:lang w:val="es-ES"/>
                              </w:rPr>
                              <w:t xml:space="preserve"> 201741120200008104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9pt;margin-top:-38.6pt;width:220.3pt;height:143.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CrewIAAAAF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" stroked="f">
                <v:textbox inset="0,0,0,0">
                  <w:txbxContent>
                    <w:p w:rsidR="00EB4BE0" w:rsidRDefault="00EB4BE0">
                      <w:pPr>
                        <w:tabs>
                          <w:tab w:val="left" w:pos="1485"/>
                        </w:tabs>
                        <w:jc w:val="right"/>
                        <w:rPr>
                          <w:rFonts w:ascii="Free 3 of 9" w:hAnsi="Free 3 of 9" w:cs="Tahoma"/>
                          <w:sz w:val="40"/>
                          <w:szCs w:val="40"/>
                          <w:lang/>
                        </w:rPr>
                      </w:pPr>
                      <w:r>
                        <w:rPr>
                          <w:rFonts w:ascii="Free 3 of 9" w:hAnsi="Free 3 of 9" w:cs="Tahoma"/>
                          <w:sz w:val="40"/>
                          <w:szCs w:val="40"/>
                          <w:lang/>
                        </w:rPr>
                        <w:t>*201741320100008604*</w:t>
                      </w:r>
                    </w:p>
                    <w:p w:rsidR="00EB4BE0" w:rsidRDefault="00EB4BE0">
                      <w:pPr>
                        <w:tabs>
                          <w:tab w:val="left" w:pos="1485"/>
                        </w:tabs>
                        <w:jc w:val="right"/>
                        <w:rPr>
                          <w:rFonts w:ascii="Arial" w:hAnsi="Arial" w:cs="Tahoma"/>
                          <w:b/>
                          <w:bCs/>
                          <w:sz w:val="20"/>
                          <w:szCs w:val="20"/>
                          <w:lang/>
                        </w:rPr>
                      </w:pPr>
                      <w:r>
                        <w:rPr>
                          <w:rFonts w:ascii="Arial" w:hAnsi="Arial" w:cs="Tahoma"/>
                          <w:b/>
                          <w:bCs/>
                          <w:sz w:val="20"/>
                          <w:szCs w:val="20"/>
                          <w:lang/>
                        </w:rPr>
                        <w:t>Al contestar por favor cite estos datos:</w:t>
                      </w:r>
                    </w:p>
                    <w:p w:rsidR="00EB4BE0" w:rsidRDefault="00EB4BE0">
                      <w:pPr>
                        <w:tabs>
                          <w:tab w:val="left" w:pos="1485"/>
                        </w:tabs>
                        <w:jc w:val="right"/>
                        <w:rPr>
                          <w:rFonts w:ascii="Arial" w:hAnsi="Arial" w:cs="Tahoma"/>
                          <w:b/>
                          <w:bCs/>
                          <w:sz w:val="20"/>
                          <w:szCs w:val="20"/>
                          <w:lang/>
                        </w:rPr>
                      </w:pPr>
                      <w:r>
                        <w:rPr>
                          <w:rFonts w:ascii="Arial" w:hAnsi="Arial" w:cs="Tahoma"/>
                          <w:sz w:val="20"/>
                          <w:szCs w:val="20"/>
                          <w:lang/>
                        </w:rPr>
                        <w:t xml:space="preserve">Radicado No.: </w:t>
                      </w:r>
                      <w:r>
                        <w:rPr>
                          <w:rFonts w:ascii="Arial" w:hAnsi="Arial" w:cs="Tahoma"/>
                          <w:b/>
                          <w:bCs/>
                          <w:sz w:val="20"/>
                          <w:szCs w:val="20"/>
                          <w:lang/>
                        </w:rPr>
                        <w:t>201741320100008604</w:t>
                      </w:r>
                    </w:p>
                    <w:p w:rsidR="00EB4BE0" w:rsidRDefault="00EB4BE0">
                      <w:pPr>
                        <w:tabs>
                          <w:tab w:val="left" w:pos="1485"/>
                        </w:tabs>
                        <w:jc w:val="right"/>
                        <w:rPr>
                          <w:rFonts w:ascii="Arial" w:hAnsi="Arial" w:cs="Tahoma"/>
                          <w:b/>
                          <w:bCs/>
                          <w:i/>
                          <w:sz w:val="20"/>
                          <w:szCs w:val="20"/>
                          <w:lang/>
                        </w:rPr>
                      </w:pPr>
                      <w:r>
                        <w:rPr>
                          <w:rFonts w:ascii="Arial" w:hAnsi="Arial" w:cs="Tahoma"/>
                          <w:i/>
                          <w:sz w:val="20"/>
                          <w:szCs w:val="20"/>
                          <w:lang/>
                        </w:rPr>
                        <w:t xml:space="preserve">Fecha: </w:t>
                      </w:r>
                      <w:r>
                        <w:rPr>
                          <w:rFonts w:ascii="Arial" w:hAnsi="Arial" w:cs="Tahoma"/>
                          <w:b/>
                          <w:bCs/>
                          <w:i/>
                          <w:sz w:val="20"/>
                          <w:szCs w:val="20"/>
                          <w:lang/>
                        </w:rPr>
                        <w:t>06-10-2017</w:t>
                      </w:r>
                    </w:p>
                    <w:p w:rsidR="00EB4BE0" w:rsidRDefault="00EB4BE0">
                      <w:pPr>
                        <w:tabs>
                          <w:tab w:val="left" w:pos="1485"/>
                        </w:tabs>
                        <w:jc w:val="right"/>
                        <w:rPr>
                          <w:rFonts w:ascii="Arial" w:hAnsi="Arial" w:cs="Tahoma"/>
                          <w:b/>
                          <w:bCs/>
                          <w:sz w:val="20"/>
                          <w:szCs w:val="20"/>
                          <w:lang/>
                        </w:rPr>
                      </w:pPr>
                      <w:r>
                        <w:rPr>
                          <w:rFonts w:ascii="Arial" w:hAnsi="Arial" w:cs="Tahoma"/>
                          <w:sz w:val="20"/>
                          <w:szCs w:val="20"/>
                          <w:lang/>
                        </w:rPr>
                        <w:t xml:space="preserve">TRD: </w:t>
                      </w:r>
                      <w:r>
                        <w:rPr>
                          <w:rFonts w:ascii="Arial" w:hAnsi="Arial" w:cs="Tahoma"/>
                          <w:b/>
                          <w:bCs/>
                          <w:sz w:val="20"/>
                          <w:szCs w:val="20"/>
                          <w:lang/>
                        </w:rPr>
                        <w:t>4132.010.14.12.187.000860</w:t>
                      </w:r>
                    </w:p>
                    <w:p w:rsidR="00EB4BE0" w:rsidRDefault="00EB4BE0">
                      <w:pPr>
                        <w:tabs>
                          <w:tab w:val="left" w:pos="1485"/>
                        </w:tabs>
                        <w:jc w:val="right"/>
                        <w:rPr>
                          <w:rFonts w:ascii="Arial" w:hAnsi="Arial" w:cs="Tahoma"/>
                          <w:b/>
                          <w:bCs/>
                          <w:sz w:val="20"/>
                          <w:szCs w:val="20"/>
                          <w:lang w:val="es-ES"/>
                        </w:rPr>
                      </w:pPr>
                      <w:r>
                        <w:rPr>
                          <w:rFonts w:ascii="Arial" w:hAnsi="Arial" w:cs="Tahoma"/>
                          <w:bCs/>
                          <w:sz w:val="20"/>
                          <w:szCs w:val="20"/>
                          <w:lang w:val="es-ES"/>
                        </w:rPr>
                        <w:t>Rad. Padre:</w:t>
                      </w:r>
                      <w:r>
                        <w:rPr>
                          <w:rFonts w:ascii="Arial" w:hAnsi="Arial" w:cs="Tahoma"/>
                          <w:b/>
                          <w:bCs/>
                          <w:sz w:val="20"/>
                          <w:szCs w:val="20"/>
                          <w:lang w:val="es-ES"/>
                        </w:rPr>
                        <w:t xml:space="preserve"> 201741120200008104</w:t>
                      </w:r>
                    </w:p>
                  </w:txbxContent>
                </v:textbox>
                <w10:wrap type="square"/>
              </v:shape>
            </w:pict>
          </mc:Fallback>
        </mc:AlternateContent>
      </w:r>
    </w:p>
    <w:p w:rsidR="00EB4BE0" w:rsidRDefault="00EB4BE0">
      <w:pPr>
        <w:jc w:val="both"/>
        <w:rPr>
          <w:rFonts w:ascii="Arial" w:hAnsi="Arial" w:cs="Arial"/>
          <w:lang w:val="es-ES"/>
        </w:rPr>
      </w:pPr>
      <w:r>
        <w:rPr>
          <w:rFonts w:ascii="Arial" w:hAnsi="Arial" w:cs="Arial"/>
          <w:lang w:val="es-ES"/>
        </w:rPr>
        <w:t>LINA SINISTERRA</w:t>
      </w:r>
    </w:p>
    <w:p w:rsidR="00EB4BE0" w:rsidRDefault="00EB4BE0">
      <w:pPr>
        <w:jc w:val="both"/>
        <w:rPr>
          <w:rFonts w:ascii="Arial" w:hAnsi="Arial" w:cs="Arial"/>
          <w:lang w:val="es-ES"/>
        </w:rPr>
      </w:pPr>
      <w:r>
        <w:rPr>
          <w:rFonts w:ascii="Arial" w:hAnsi="Arial" w:cs="Arial"/>
          <w:lang w:val="es-ES"/>
        </w:rPr>
        <w:t>Secretaria de Gobierno</w:t>
      </w:r>
    </w:p>
    <w:p w:rsidR="00EB4BE0" w:rsidRDefault="00EB4BE0">
      <w:pPr>
        <w:jc w:val="both"/>
        <w:rPr>
          <w:rFonts w:ascii="Arial" w:hAnsi="Arial" w:cs="Arial"/>
        </w:rPr>
      </w:pPr>
      <w:r>
        <w:rPr>
          <w:rFonts w:ascii="Arial" w:hAnsi="Arial" w:cs="Arial"/>
        </w:rPr>
        <w:t>CAM, Torre Alcaldía</w:t>
      </w:r>
    </w:p>
    <w:p w:rsidR="00EB4BE0" w:rsidRDefault="00EB4BE0">
      <w:pPr>
        <w:jc w:val="both"/>
        <w:rPr>
          <w:rFonts w:ascii="Arial" w:hAnsi="Arial" w:cs="Arial"/>
        </w:rPr>
      </w:pPr>
      <w:r>
        <w:rPr>
          <w:rFonts w:ascii="Arial" w:hAnsi="Arial" w:cs="Arial"/>
        </w:rPr>
        <w:t>Piso 3</w:t>
      </w:r>
    </w:p>
    <w:p w:rsidR="00EB4BE0" w:rsidRDefault="00EB4BE0">
      <w:pPr>
        <w:jc w:val="both"/>
        <w:rPr>
          <w:rFonts w:ascii="Arial" w:hAnsi="Arial" w:cs="Arial"/>
          <w:lang w:val="es-ES"/>
        </w:rPr>
      </w:pPr>
    </w:p>
    <w:p w:rsidR="00EB4BE0" w:rsidRDefault="00EB4BE0">
      <w:pPr>
        <w:jc w:val="both"/>
        <w:rPr>
          <w:rFonts w:ascii="Arial" w:hAnsi="Arial" w:cs="Arial"/>
          <w:lang w:val="es-ES"/>
        </w:rPr>
      </w:pPr>
    </w:p>
    <w:p w:rsidR="00EB4BE0" w:rsidRDefault="00EB4BE0">
      <w:pPr>
        <w:jc w:val="both"/>
        <w:rPr>
          <w:rFonts w:ascii="Arial" w:hAnsi="Arial" w:cs="Arial"/>
          <w:lang w:val="es-ES"/>
        </w:rPr>
      </w:pPr>
      <w:r>
        <w:rPr>
          <w:rFonts w:ascii="Arial" w:hAnsi="Arial" w:cs="Arial"/>
          <w:lang w:val="es-ES"/>
        </w:rPr>
        <w:t>ASUNTO:</w:t>
      </w:r>
      <w:r>
        <w:rPr>
          <w:rFonts w:ascii="Arial" w:hAnsi="Arial" w:cs="Arial"/>
          <w:lang w:val="es-ES"/>
        </w:rPr>
        <w:tab/>
        <w:t>Informe de gestión al Concejo Municipal</w:t>
      </w:r>
    </w:p>
    <w:p w:rsidR="00EB4BE0" w:rsidRDefault="00EB4BE0">
      <w:pPr>
        <w:jc w:val="both"/>
        <w:rPr>
          <w:rFonts w:ascii="Arial" w:hAnsi="Arial" w:cs="Arial"/>
          <w:lang w:val="es-ES"/>
        </w:rPr>
      </w:pPr>
    </w:p>
    <w:p w:rsidR="00EB4BE0" w:rsidRDefault="00EB4BE0">
      <w:pPr>
        <w:jc w:val="both"/>
        <w:rPr>
          <w:rFonts w:ascii="Arial" w:hAnsi="Arial" w:cs="Arial"/>
          <w:lang w:val="es-ES"/>
        </w:rPr>
      </w:pPr>
    </w:p>
    <w:p w:rsidR="00EB4BE0" w:rsidRDefault="00EB4BE0">
      <w:pPr>
        <w:jc w:val="both"/>
        <w:rPr>
          <w:rFonts w:ascii="Arial" w:hAnsi="Arial" w:cs="Arial"/>
          <w:lang w:val="es-ES"/>
        </w:rPr>
      </w:pPr>
      <w:r>
        <w:rPr>
          <w:rFonts w:ascii="Arial" w:hAnsi="Arial" w:cs="Arial"/>
          <w:lang w:val="es-ES"/>
        </w:rPr>
        <w:t>Cordial saludo,</w:t>
      </w:r>
    </w:p>
    <w:p w:rsidR="00EB4BE0" w:rsidRDefault="00EB4BE0">
      <w:pPr>
        <w:jc w:val="both"/>
        <w:rPr>
          <w:rFonts w:ascii="Arial" w:hAnsi="Arial" w:cs="Arial"/>
          <w:lang w:val="es-ES"/>
        </w:rPr>
      </w:pPr>
    </w:p>
    <w:p w:rsidR="00EB4BE0" w:rsidRDefault="00EB4BE0">
      <w:pPr>
        <w:jc w:val="both"/>
        <w:rPr>
          <w:rFonts w:ascii="Arial" w:hAnsi="Arial" w:cs="Arial"/>
          <w:lang w:val="es-ES"/>
        </w:rPr>
      </w:pPr>
    </w:p>
    <w:p w:rsidR="00EB4BE0" w:rsidRDefault="00EB4BE0">
      <w:pPr>
        <w:jc w:val="both"/>
        <w:rPr>
          <w:rFonts w:ascii="Arial" w:hAnsi="Arial" w:cs="Arial"/>
          <w:lang w:val="es-ES"/>
        </w:rPr>
      </w:pPr>
      <w:r>
        <w:rPr>
          <w:rFonts w:ascii="Arial" w:hAnsi="Arial" w:cs="Arial"/>
          <w:lang w:val="es-ES"/>
        </w:rPr>
        <w:t xml:space="preserve">En atención a la circular No. 4112.020.2.1.187.000810 del 27 de septiembre de 2017, este departamento presenta el informe de gestión sobre sus compromisos con el </w:t>
      </w:r>
      <w:r>
        <w:rPr>
          <w:rFonts w:ascii="Arial" w:hAnsi="Arial" w:cs="Arial"/>
        </w:rPr>
        <w:t xml:space="preserve">Plan de Desarrollo “Cali Progresa Contigo” 2016 – 2019, </w:t>
      </w:r>
      <w:r>
        <w:rPr>
          <w:rFonts w:ascii="Arial" w:hAnsi="Arial" w:cs="Arial"/>
          <w:lang w:val="es-ES"/>
        </w:rPr>
        <w:t>para su remisión al Concejo Municipal.</w:t>
      </w:r>
    </w:p>
    <w:p w:rsidR="00EB4BE0" w:rsidRDefault="00EB4BE0">
      <w:pPr>
        <w:jc w:val="both"/>
        <w:rPr>
          <w:rFonts w:ascii="Arial" w:hAnsi="Arial" w:cs="Arial"/>
        </w:rPr>
      </w:pPr>
    </w:p>
    <w:p w:rsidR="00EB4BE0" w:rsidRDefault="00EB4BE0">
      <w:pPr>
        <w:pStyle w:val="Prrafodelista"/>
        <w:numPr>
          <w:ilvl w:val="0"/>
          <w:numId w:val="1"/>
        </w:numPr>
        <w:tabs>
          <w:tab w:val="left" w:pos="360"/>
        </w:tabs>
        <w:spacing w:before="240"/>
        <w:rPr>
          <w:rFonts w:ascii="Arial" w:hAnsi="Arial" w:cs="Arial"/>
          <w:b/>
          <w:sz w:val="24"/>
          <w:szCs w:val="24"/>
        </w:rPr>
      </w:pPr>
      <w:r>
        <w:rPr>
          <w:rFonts w:ascii="Arial" w:hAnsi="Arial" w:cs="Arial"/>
          <w:b/>
          <w:sz w:val="24"/>
          <w:szCs w:val="24"/>
        </w:rPr>
        <w:t>AVANCE DE METAS DEL PLAN DE DESARROLLO</w:t>
      </w:r>
    </w:p>
    <w:p w:rsidR="00EB4BE0" w:rsidRDefault="00EB4BE0">
      <w:pPr>
        <w:jc w:val="both"/>
        <w:rPr>
          <w:rFonts w:ascii="Arial" w:hAnsi="Arial" w:cs="Arial"/>
        </w:rPr>
      </w:pPr>
      <w:r>
        <w:rPr>
          <w:rFonts w:ascii="Arial" w:hAnsi="Arial" w:cs="Arial"/>
        </w:rPr>
        <w:t>El Departamento Administrativo de Planeación Municipal contribuye al cumplimiento del Plan de Desarrollo Municipal con 36 metas producto, distribuidas en 3 ejes, 8 componentes y 12 programas, como se muestra en la siguiente tabla.</w:t>
      </w:r>
    </w:p>
    <w:p w:rsidR="00EB4BE0" w:rsidRDefault="00EB4BE0">
      <w:pPr>
        <w:jc w:val="both"/>
        <w:rPr>
          <w:rFonts w:ascii="Arial" w:hAnsi="Arial" w:cs="Arial"/>
        </w:rPr>
      </w:pPr>
    </w:p>
    <w:tbl>
      <w:tblPr>
        <w:tblW w:w="0" w:type="auto"/>
        <w:tblInd w:w="-10" w:type="dxa"/>
        <w:tblLayout w:type="fixed"/>
        <w:tblLook w:val="0000" w:firstRow="0" w:lastRow="0" w:firstColumn="0" w:lastColumn="0" w:noHBand="0" w:noVBand="0"/>
      </w:tblPr>
      <w:tblGrid>
        <w:gridCol w:w="2122"/>
        <w:gridCol w:w="2693"/>
        <w:gridCol w:w="2835"/>
        <w:gridCol w:w="1198"/>
      </w:tblGrid>
      <w:tr w:rsidR="00EB4BE0">
        <w:trPr>
          <w:tblHeader/>
        </w:trPr>
        <w:tc>
          <w:tcPr>
            <w:tcW w:w="2122"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Eje</w:t>
            </w:r>
          </w:p>
        </w:tc>
        <w:tc>
          <w:tcPr>
            <w:tcW w:w="2693"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Componente</w:t>
            </w:r>
          </w:p>
        </w:tc>
        <w:tc>
          <w:tcPr>
            <w:tcW w:w="2835"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Programa</w:t>
            </w:r>
          </w:p>
        </w:tc>
        <w:tc>
          <w:tcPr>
            <w:tcW w:w="11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Número de metas</w:t>
            </w:r>
          </w:p>
        </w:tc>
      </w:tr>
      <w:tr w:rsidR="00EB4BE0">
        <w:tc>
          <w:tcPr>
            <w:tcW w:w="2122"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41 Cali social y diversa</w:t>
            </w:r>
          </w:p>
        </w:tc>
        <w:tc>
          <w:tcPr>
            <w:tcW w:w="2693"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4105 Cali vibra con la cultura y el deporte</w:t>
            </w:r>
          </w:p>
        </w:tc>
        <w:tc>
          <w:tcPr>
            <w:tcW w:w="283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4105002 Patrimonio, arte y cultura</w:t>
            </w:r>
          </w:p>
        </w:tc>
        <w:tc>
          <w:tcPr>
            <w:tcW w:w="119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1</w:t>
            </w:r>
          </w:p>
        </w:tc>
      </w:tr>
      <w:tr w:rsidR="00EB4BE0">
        <w:trPr>
          <w:cantSplit/>
          <w:trHeight w:hRule="exact" w:val="194"/>
        </w:trPr>
        <w:tc>
          <w:tcPr>
            <w:tcW w:w="2122" w:type="dxa"/>
            <w:vMerge w:val="restart"/>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 Cali amable y sostenible</w:t>
            </w:r>
          </w:p>
        </w:tc>
        <w:tc>
          <w:tcPr>
            <w:tcW w:w="2693" w:type="dxa"/>
            <w:vMerge w:val="restart"/>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4201 Movilidad sostenible, saludable, segura y accesible</w:t>
            </w:r>
          </w:p>
        </w:tc>
        <w:tc>
          <w:tcPr>
            <w:tcW w:w="283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4201002 Movilidad en bicicleta</w:t>
            </w:r>
          </w:p>
        </w:tc>
        <w:tc>
          <w:tcPr>
            <w:tcW w:w="119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jc w:val="center"/>
              <w:rPr>
                <w:rFonts w:ascii="Arial" w:hAnsi="Arial" w:cs="Arial"/>
                <w:sz w:val="16"/>
                <w:szCs w:val="16"/>
              </w:rPr>
            </w:pPr>
            <w:r>
              <w:rPr>
                <w:rFonts w:ascii="Arial" w:hAnsi="Arial" w:cs="Arial"/>
                <w:sz w:val="16"/>
                <w:szCs w:val="16"/>
              </w:rPr>
              <w:t>1</w:t>
            </w:r>
          </w:p>
        </w:tc>
      </w:tr>
      <w:tr w:rsidR="00EB4BE0">
        <w:trPr>
          <w:cantSplit/>
          <w:trHeight w:hRule="exact" w:val="562"/>
        </w:trPr>
        <w:tc>
          <w:tcPr>
            <w:tcW w:w="2122" w:type="dxa"/>
            <w:vMerge/>
            <w:tcBorders>
              <w:top w:val="single" w:sz="4" w:space="0" w:color="000000"/>
              <w:left w:val="single" w:sz="4" w:space="0" w:color="000000"/>
              <w:bottom w:val="single" w:sz="4" w:space="0" w:color="000000"/>
            </w:tcBorders>
            <w:vAlign w:val="center"/>
          </w:tcPr>
          <w:p w:rsidR="00EB4BE0" w:rsidRDefault="00EB4BE0"/>
        </w:tc>
        <w:tc>
          <w:tcPr>
            <w:tcW w:w="2693" w:type="dxa"/>
            <w:vMerge/>
            <w:tcBorders>
              <w:top w:val="single" w:sz="4" w:space="0" w:color="000000"/>
              <w:left w:val="single" w:sz="4" w:space="0" w:color="000000"/>
              <w:bottom w:val="single" w:sz="4" w:space="0" w:color="000000"/>
            </w:tcBorders>
            <w:vAlign w:val="center"/>
          </w:tcPr>
          <w:p w:rsidR="00EB4BE0" w:rsidRDefault="00EB4BE0"/>
        </w:tc>
        <w:tc>
          <w:tcPr>
            <w:tcW w:w="283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4201005 Regulación, control y gestión para la optimización del tráfico y la seguridad vial</w:t>
            </w:r>
          </w:p>
        </w:tc>
        <w:tc>
          <w:tcPr>
            <w:tcW w:w="119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jc w:val="center"/>
              <w:rPr>
                <w:rFonts w:ascii="Arial" w:hAnsi="Arial" w:cs="Arial"/>
                <w:sz w:val="16"/>
                <w:szCs w:val="16"/>
              </w:rPr>
            </w:pPr>
            <w:r>
              <w:rPr>
                <w:rFonts w:ascii="Arial" w:hAnsi="Arial" w:cs="Arial"/>
                <w:sz w:val="16"/>
                <w:szCs w:val="16"/>
              </w:rPr>
              <w:t>4</w:t>
            </w:r>
          </w:p>
        </w:tc>
      </w:tr>
      <w:tr w:rsidR="00EB4BE0">
        <w:trPr>
          <w:cantSplit/>
          <w:trHeight w:hRule="exact" w:val="378"/>
        </w:trPr>
        <w:tc>
          <w:tcPr>
            <w:tcW w:w="2122" w:type="dxa"/>
            <w:vMerge/>
            <w:tcBorders>
              <w:top w:val="single" w:sz="4" w:space="0" w:color="000000"/>
              <w:left w:val="single" w:sz="4" w:space="0" w:color="000000"/>
              <w:bottom w:val="single" w:sz="4" w:space="0" w:color="000000"/>
            </w:tcBorders>
            <w:vAlign w:val="center"/>
          </w:tcPr>
          <w:p w:rsidR="00EB4BE0" w:rsidRDefault="00EB4BE0"/>
        </w:tc>
        <w:tc>
          <w:tcPr>
            <w:tcW w:w="2693" w:type="dxa"/>
            <w:vMerge w:val="restart"/>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4202 Ordenamiento territorial e integración regional</w:t>
            </w:r>
          </w:p>
        </w:tc>
        <w:tc>
          <w:tcPr>
            <w:tcW w:w="283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4202001 Planificación y control del territorio</w:t>
            </w:r>
          </w:p>
        </w:tc>
        <w:tc>
          <w:tcPr>
            <w:tcW w:w="119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jc w:val="center"/>
              <w:rPr>
                <w:rFonts w:ascii="Arial" w:hAnsi="Arial" w:cs="Arial"/>
                <w:sz w:val="16"/>
                <w:szCs w:val="16"/>
              </w:rPr>
            </w:pPr>
            <w:r>
              <w:rPr>
                <w:rFonts w:ascii="Arial" w:hAnsi="Arial" w:cs="Arial"/>
                <w:sz w:val="16"/>
                <w:szCs w:val="16"/>
              </w:rPr>
              <w:t>9</w:t>
            </w:r>
          </w:p>
        </w:tc>
      </w:tr>
      <w:tr w:rsidR="00EB4BE0">
        <w:trPr>
          <w:cantSplit/>
          <w:trHeight w:hRule="exact" w:val="194"/>
        </w:trPr>
        <w:tc>
          <w:tcPr>
            <w:tcW w:w="2122" w:type="dxa"/>
            <w:vMerge/>
            <w:tcBorders>
              <w:top w:val="single" w:sz="4" w:space="0" w:color="000000"/>
              <w:left w:val="single" w:sz="4" w:space="0" w:color="000000"/>
              <w:bottom w:val="single" w:sz="4" w:space="0" w:color="000000"/>
            </w:tcBorders>
            <w:vAlign w:val="center"/>
          </w:tcPr>
          <w:p w:rsidR="00EB4BE0" w:rsidRDefault="00EB4BE0"/>
        </w:tc>
        <w:tc>
          <w:tcPr>
            <w:tcW w:w="2693" w:type="dxa"/>
            <w:vMerge/>
            <w:tcBorders>
              <w:top w:val="single" w:sz="4" w:space="0" w:color="000000"/>
              <w:left w:val="single" w:sz="4" w:space="0" w:color="000000"/>
              <w:bottom w:val="single" w:sz="4" w:space="0" w:color="000000"/>
            </w:tcBorders>
            <w:vAlign w:val="center"/>
          </w:tcPr>
          <w:p w:rsidR="00EB4BE0" w:rsidRDefault="00EB4BE0"/>
        </w:tc>
        <w:tc>
          <w:tcPr>
            <w:tcW w:w="283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4202002 Ciudad región</w:t>
            </w:r>
          </w:p>
        </w:tc>
        <w:tc>
          <w:tcPr>
            <w:tcW w:w="119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jc w:val="center"/>
              <w:rPr>
                <w:rFonts w:ascii="Arial" w:hAnsi="Arial" w:cs="Arial"/>
                <w:sz w:val="16"/>
                <w:szCs w:val="16"/>
              </w:rPr>
            </w:pPr>
            <w:r>
              <w:rPr>
                <w:rFonts w:ascii="Arial" w:hAnsi="Arial" w:cs="Arial"/>
                <w:sz w:val="16"/>
                <w:szCs w:val="16"/>
              </w:rPr>
              <w:t>2</w:t>
            </w:r>
          </w:p>
        </w:tc>
      </w:tr>
      <w:tr w:rsidR="00EB4BE0">
        <w:trPr>
          <w:cantSplit/>
          <w:trHeight w:hRule="exact" w:val="378"/>
        </w:trPr>
        <w:tc>
          <w:tcPr>
            <w:tcW w:w="2122" w:type="dxa"/>
            <w:vMerge/>
            <w:tcBorders>
              <w:top w:val="single" w:sz="4" w:space="0" w:color="000000"/>
              <w:left w:val="single" w:sz="4" w:space="0" w:color="000000"/>
              <w:bottom w:val="single" w:sz="4" w:space="0" w:color="000000"/>
            </w:tcBorders>
            <w:vAlign w:val="center"/>
          </w:tcPr>
          <w:p w:rsidR="00EB4BE0" w:rsidRDefault="00EB4BE0"/>
        </w:tc>
        <w:tc>
          <w:tcPr>
            <w:tcW w:w="2693" w:type="dxa"/>
            <w:vMerge w:val="restart"/>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4203 Viviendo mejor y disfrutando más a Cali</w:t>
            </w:r>
          </w:p>
        </w:tc>
        <w:tc>
          <w:tcPr>
            <w:tcW w:w="283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4203002 Espacios públicos más verdes e incluyentes</w:t>
            </w:r>
          </w:p>
        </w:tc>
        <w:tc>
          <w:tcPr>
            <w:tcW w:w="119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jc w:val="center"/>
              <w:rPr>
                <w:rFonts w:ascii="Arial" w:hAnsi="Arial" w:cs="Arial"/>
                <w:sz w:val="16"/>
                <w:szCs w:val="16"/>
              </w:rPr>
            </w:pPr>
            <w:r>
              <w:rPr>
                <w:rFonts w:ascii="Arial" w:hAnsi="Arial" w:cs="Arial"/>
                <w:sz w:val="16"/>
                <w:szCs w:val="16"/>
              </w:rPr>
              <w:t>2</w:t>
            </w:r>
          </w:p>
        </w:tc>
      </w:tr>
      <w:tr w:rsidR="00EB4BE0">
        <w:trPr>
          <w:cantSplit/>
          <w:trHeight w:hRule="exact" w:val="378"/>
        </w:trPr>
        <w:tc>
          <w:tcPr>
            <w:tcW w:w="2122" w:type="dxa"/>
            <w:vMerge/>
            <w:tcBorders>
              <w:top w:val="single" w:sz="4" w:space="0" w:color="000000"/>
              <w:left w:val="single" w:sz="4" w:space="0" w:color="000000"/>
              <w:bottom w:val="single" w:sz="4" w:space="0" w:color="000000"/>
            </w:tcBorders>
            <w:vAlign w:val="center"/>
          </w:tcPr>
          <w:p w:rsidR="00EB4BE0" w:rsidRDefault="00EB4BE0"/>
        </w:tc>
        <w:tc>
          <w:tcPr>
            <w:tcW w:w="2693" w:type="dxa"/>
            <w:vMerge/>
            <w:tcBorders>
              <w:top w:val="single" w:sz="4" w:space="0" w:color="000000"/>
              <w:left w:val="single" w:sz="4" w:space="0" w:color="000000"/>
              <w:bottom w:val="single" w:sz="4" w:space="0" w:color="000000"/>
            </w:tcBorders>
            <w:vAlign w:val="center"/>
          </w:tcPr>
          <w:p w:rsidR="00EB4BE0" w:rsidRDefault="00EB4BE0"/>
        </w:tc>
        <w:tc>
          <w:tcPr>
            <w:tcW w:w="283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4203003 Renovación y redensificación urbana sustentable</w:t>
            </w:r>
          </w:p>
        </w:tc>
        <w:tc>
          <w:tcPr>
            <w:tcW w:w="119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jc w:val="center"/>
              <w:rPr>
                <w:rFonts w:ascii="Arial" w:hAnsi="Arial" w:cs="Arial"/>
                <w:sz w:val="16"/>
                <w:szCs w:val="16"/>
              </w:rPr>
            </w:pPr>
            <w:r>
              <w:rPr>
                <w:rFonts w:ascii="Arial" w:hAnsi="Arial" w:cs="Arial"/>
                <w:sz w:val="16"/>
                <w:szCs w:val="16"/>
              </w:rPr>
              <w:t>1</w:t>
            </w:r>
          </w:p>
        </w:tc>
      </w:tr>
      <w:tr w:rsidR="00EB4BE0">
        <w:trPr>
          <w:cantSplit/>
          <w:trHeight w:hRule="exact" w:val="378"/>
        </w:trPr>
        <w:tc>
          <w:tcPr>
            <w:tcW w:w="2122" w:type="dxa"/>
            <w:vMerge/>
            <w:tcBorders>
              <w:top w:val="single" w:sz="4" w:space="0" w:color="000000"/>
              <w:left w:val="single" w:sz="4" w:space="0" w:color="000000"/>
              <w:bottom w:val="single" w:sz="4" w:space="0" w:color="000000"/>
            </w:tcBorders>
            <w:vAlign w:val="center"/>
          </w:tcPr>
          <w:p w:rsidR="00EB4BE0" w:rsidRDefault="00EB4BE0"/>
        </w:tc>
        <w:tc>
          <w:tcPr>
            <w:tcW w:w="2693"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4205 Gestión integral del riesgo de desastres</w:t>
            </w:r>
          </w:p>
        </w:tc>
        <w:tc>
          <w:tcPr>
            <w:tcW w:w="283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4205001 Conocimiento de riesgos</w:t>
            </w:r>
          </w:p>
        </w:tc>
        <w:tc>
          <w:tcPr>
            <w:tcW w:w="119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jc w:val="center"/>
              <w:rPr>
                <w:rFonts w:ascii="Arial" w:hAnsi="Arial" w:cs="Arial"/>
                <w:sz w:val="16"/>
                <w:szCs w:val="16"/>
              </w:rPr>
            </w:pPr>
            <w:r>
              <w:rPr>
                <w:rFonts w:ascii="Arial" w:hAnsi="Arial" w:cs="Arial"/>
                <w:sz w:val="16"/>
                <w:szCs w:val="16"/>
              </w:rPr>
              <w:t>1</w:t>
            </w:r>
          </w:p>
        </w:tc>
      </w:tr>
      <w:tr w:rsidR="00EB4BE0">
        <w:trPr>
          <w:cantSplit/>
          <w:trHeight w:hRule="exact" w:val="378"/>
        </w:trPr>
        <w:tc>
          <w:tcPr>
            <w:tcW w:w="2122" w:type="dxa"/>
            <w:vMerge/>
            <w:tcBorders>
              <w:top w:val="single" w:sz="4" w:space="0" w:color="000000"/>
              <w:left w:val="single" w:sz="4" w:space="0" w:color="000000"/>
              <w:bottom w:val="single" w:sz="4" w:space="0" w:color="000000"/>
            </w:tcBorders>
            <w:vAlign w:val="center"/>
          </w:tcPr>
          <w:p w:rsidR="00EB4BE0" w:rsidRDefault="00EB4BE0"/>
        </w:tc>
        <w:tc>
          <w:tcPr>
            <w:tcW w:w="2693" w:type="dxa"/>
            <w:vMerge w:val="restart"/>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4206 Gestión eficiente para la prestación de los servicios públicos</w:t>
            </w:r>
          </w:p>
        </w:tc>
        <w:tc>
          <w:tcPr>
            <w:tcW w:w="283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4206001 Servicios públicos domiciliarios y TIC</w:t>
            </w:r>
          </w:p>
        </w:tc>
        <w:tc>
          <w:tcPr>
            <w:tcW w:w="119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jc w:val="center"/>
              <w:rPr>
                <w:rFonts w:ascii="Arial" w:hAnsi="Arial" w:cs="Arial"/>
                <w:sz w:val="16"/>
                <w:szCs w:val="16"/>
              </w:rPr>
            </w:pPr>
            <w:r>
              <w:rPr>
                <w:rFonts w:ascii="Arial" w:hAnsi="Arial" w:cs="Arial"/>
                <w:sz w:val="16"/>
                <w:szCs w:val="16"/>
              </w:rPr>
              <w:t>1</w:t>
            </w:r>
          </w:p>
        </w:tc>
      </w:tr>
      <w:tr w:rsidR="00EB4BE0">
        <w:trPr>
          <w:cantSplit/>
        </w:trPr>
        <w:tc>
          <w:tcPr>
            <w:tcW w:w="2122" w:type="dxa"/>
            <w:vMerge/>
            <w:tcBorders>
              <w:top w:val="single" w:sz="4" w:space="0" w:color="000000"/>
              <w:left w:val="single" w:sz="4" w:space="0" w:color="000000"/>
              <w:bottom w:val="single" w:sz="4" w:space="0" w:color="000000"/>
            </w:tcBorders>
            <w:vAlign w:val="center"/>
          </w:tcPr>
          <w:p w:rsidR="00EB4BE0" w:rsidRDefault="00EB4BE0"/>
        </w:tc>
        <w:tc>
          <w:tcPr>
            <w:tcW w:w="2693" w:type="dxa"/>
            <w:vMerge/>
            <w:tcBorders>
              <w:top w:val="single" w:sz="4" w:space="0" w:color="000000"/>
              <w:left w:val="single" w:sz="4" w:space="0" w:color="000000"/>
              <w:bottom w:val="single" w:sz="4" w:space="0" w:color="000000"/>
            </w:tcBorders>
            <w:vAlign w:val="center"/>
          </w:tcPr>
          <w:p w:rsidR="00EB4BE0" w:rsidRDefault="00EB4BE0"/>
        </w:tc>
        <w:tc>
          <w:tcPr>
            <w:tcW w:w="283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4206002 Gestión integral de residuos sólidos.</w:t>
            </w:r>
          </w:p>
        </w:tc>
        <w:tc>
          <w:tcPr>
            <w:tcW w:w="119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jc w:val="center"/>
              <w:rPr>
                <w:rFonts w:ascii="Arial" w:hAnsi="Arial" w:cs="Arial"/>
                <w:sz w:val="16"/>
                <w:szCs w:val="16"/>
              </w:rPr>
            </w:pPr>
            <w:r>
              <w:rPr>
                <w:rFonts w:ascii="Arial" w:hAnsi="Arial" w:cs="Arial"/>
                <w:sz w:val="16"/>
                <w:szCs w:val="16"/>
              </w:rPr>
              <w:t>2</w:t>
            </w:r>
          </w:p>
        </w:tc>
      </w:tr>
      <w:tr w:rsidR="00EB4BE0">
        <w:trPr>
          <w:cantSplit/>
          <w:trHeight w:hRule="exact" w:val="562"/>
        </w:trPr>
        <w:tc>
          <w:tcPr>
            <w:tcW w:w="2122" w:type="dxa"/>
            <w:vMerge w:val="restart"/>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45 Cali participativa y bien gobernada</w:t>
            </w:r>
          </w:p>
        </w:tc>
        <w:tc>
          <w:tcPr>
            <w:tcW w:w="2693"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4501 Gerencia pública basada en resultados y la defensa de lo público</w:t>
            </w:r>
          </w:p>
        </w:tc>
        <w:tc>
          <w:tcPr>
            <w:tcW w:w="283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4501002 Información de calidad para la planificación territorial</w:t>
            </w:r>
          </w:p>
        </w:tc>
        <w:tc>
          <w:tcPr>
            <w:tcW w:w="119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11</w:t>
            </w:r>
          </w:p>
        </w:tc>
      </w:tr>
      <w:tr w:rsidR="00EB4BE0">
        <w:trPr>
          <w:cantSplit/>
        </w:trPr>
        <w:tc>
          <w:tcPr>
            <w:tcW w:w="2122" w:type="dxa"/>
            <w:vMerge/>
            <w:tcBorders>
              <w:top w:val="single" w:sz="4" w:space="0" w:color="000000"/>
              <w:left w:val="single" w:sz="4" w:space="0" w:color="000000"/>
              <w:bottom w:val="single" w:sz="4" w:space="0" w:color="000000"/>
            </w:tcBorders>
            <w:vAlign w:val="center"/>
          </w:tcPr>
          <w:p w:rsidR="00EB4BE0" w:rsidRDefault="00EB4BE0"/>
        </w:tc>
        <w:tc>
          <w:tcPr>
            <w:tcW w:w="2693"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4502 Modernización institucional con transparencia y dignificación del servicio público</w:t>
            </w:r>
          </w:p>
        </w:tc>
        <w:tc>
          <w:tcPr>
            <w:tcW w:w="283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4502001 Gobierno en línea</w:t>
            </w:r>
          </w:p>
        </w:tc>
        <w:tc>
          <w:tcPr>
            <w:tcW w:w="119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1</w:t>
            </w:r>
          </w:p>
        </w:tc>
      </w:tr>
      <w:tr w:rsidR="00EB4BE0">
        <w:tc>
          <w:tcPr>
            <w:tcW w:w="7650" w:type="dxa"/>
            <w:gridSpan w:val="3"/>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rPr>
                <w:rFonts w:ascii="Arial" w:eastAsia="Times New Roman" w:hAnsi="Arial" w:cs="Arial"/>
                <w:b/>
                <w:color w:val="000000"/>
                <w:sz w:val="16"/>
                <w:szCs w:val="16"/>
              </w:rPr>
            </w:pPr>
            <w:r>
              <w:rPr>
                <w:rFonts w:ascii="Arial" w:eastAsia="Times New Roman" w:hAnsi="Arial" w:cs="Arial"/>
                <w:b/>
                <w:color w:val="000000"/>
                <w:sz w:val="16"/>
                <w:szCs w:val="16"/>
              </w:rPr>
              <w:t>Total</w:t>
            </w:r>
          </w:p>
        </w:tc>
        <w:tc>
          <w:tcPr>
            <w:tcW w:w="11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color w:val="000000"/>
                <w:sz w:val="16"/>
                <w:szCs w:val="16"/>
              </w:rPr>
            </w:pPr>
            <w:r>
              <w:rPr>
                <w:rFonts w:ascii="Arial" w:eastAsia="Times New Roman" w:hAnsi="Arial" w:cs="Arial"/>
                <w:b/>
                <w:color w:val="000000"/>
                <w:sz w:val="16"/>
                <w:szCs w:val="16"/>
              </w:rPr>
              <w:t>36</w:t>
            </w:r>
          </w:p>
        </w:tc>
      </w:tr>
    </w:tbl>
    <w:p w:rsidR="00EB4BE0" w:rsidRDefault="00EB4BE0"/>
    <w:p w:rsidR="00EB4BE0" w:rsidRDefault="00EB4BE0">
      <w:pPr>
        <w:rPr>
          <w:rFonts w:ascii="Arial" w:hAnsi="Arial" w:cs="Arial"/>
        </w:rPr>
      </w:pPr>
      <w:r>
        <w:rPr>
          <w:rFonts w:ascii="Arial" w:hAnsi="Arial" w:cs="Arial"/>
        </w:rPr>
        <w:t>Los siguientes son los avances cuantitativos acumulados hasta junio de 2017 de las metas establecidas en el plan de desarrollo, y una descripción ejecutiva del avance de cada meta, discriminado por los ejes, componentes y programas del Plan de Desarrollo.</w:t>
      </w:r>
    </w:p>
    <w:p w:rsidR="00EB4BE0" w:rsidRDefault="00E57FDC" w:rsidP="008E18C6">
      <w:pPr>
        <w:pStyle w:val="Prrafodelista"/>
        <w:tabs>
          <w:tab w:val="left" w:pos="525"/>
        </w:tabs>
        <w:spacing w:before="240" w:after="0"/>
        <w:ind w:left="0"/>
        <w:rPr>
          <w:rFonts w:ascii="Arial" w:hAnsi="Arial" w:cs="Arial"/>
          <w:b/>
          <w:sz w:val="24"/>
          <w:szCs w:val="24"/>
        </w:rPr>
      </w:pPr>
      <w:r>
        <w:rPr>
          <w:rFonts w:ascii="Arial" w:hAnsi="Arial" w:cs="Arial"/>
          <w:b/>
          <w:sz w:val="24"/>
          <w:szCs w:val="24"/>
        </w:rPr>
        <w:t xml:space="preserve">41 - </w:t>
      </w:r>
      <w:r w:rsidR="00EB4BE0">
        <w:rPr>
          <w:rFonts w:ascii="Arial" w:hAnsi="Arial" w:cs="Arial"/>
          <w:b/>
          <w:sz w:val="24"/>
          <w:szCs w:val="24"/>
        </w:rPr>
        <w:t>EJE CALI SOCIAL Y DIVERSA</w:t>
      </w:r>
    </w:p>
    <w:p w:rsidR="00EB4BE0" w:rsidRPr="008E18C6" w:rsidRDefault="00E57FDC" w:rsidP="008E18C6">
      <w:pPr>
        <w:pStyle w:val="Prrafodelista"/>
        <w:tabs>
          <w:tab w:val="left" w:pos="720"/>
        </w:tabs>
        <w:spacing w:after="0"/>
        <w:ind w:left="0"/>
        <w:rPr>
          <w:rFonts w:ascii="Arial" w:hAnsi="Arial" w:cs="Arial"/>
          <w:b/>
          <w:sz w:val="24"/>
          <w:szCs w:val="24"/>
        </w:rPr>
      </w:pPr>
      <w:r w:rsidRPr="008E18C6">
        <w:rPr>
          <w:rFonts w:ascii="Arial" w:hAnsi="Arial" w:cs="Arial"/>
          <w:b/>
          <w:sz w:val="24"/>
          <w:szCs w:val="24"/>
        </w:rPr>
        <w:t xml:space="preserve">4105 </w:t>
      </w:r>
      <w:r>
        <w:rPr>
          <w:rFonts w:ascii="Arial" w:hAnsi="Arial" w:cs="Arial"/>
          <w:b/>
          <w:sz w:val="24"/>
          <w:szCs w:val="24"/>
        </w:rPr>
        <w:t xml:space="preserve">- </w:t>
      </w:r>
      <w:r w:rsidR="00EB4BE0" w:rsidRPr="008E18C6">
        <w:rPr>
          <w:rFonts w:ascii="Arial" w:hAnsi="Arial" w:cs="Arial"/>
          <w:b/>
          <w:sz w:val="24"/>
          <w:szCs w:val="24"/>
        </w:rPr>
        <w:t>Componente Cali vibra con la cultura y el deporte</w:t>
      </w:r>
    </w:p>
    <w:p w:rsidR="00EB4BE0" w:rsidRPr="008E18C6" w:rsidRDefault="00E57FDC" w:rsidP="008E18C6">
      <w:pPr>
        <w:pStyle w:val="Prrafodelista"/>
        <w:tabs>
          <w:tab w:val="left" w:pos="1080"/>
        </w:tabs>
        <w:spacing w:after="0"/>
        <w:ind w:left="0"/>
        <w:rPr>
          <w:rFonts w:ascii="Arial" w:hAnsi="Arial" w:cs="Arial"/>
          <w:b/>
          <w:sz w:val="24"/>
          <w:szCs w:val="24"/>
        </w:rPr>
      </w:pPr>
      <w:r w:rsidRPr="008E18C6">
        <w:rPr>
          <w:rFonts w:ascii="Arial" w:hAnsi="Arial" w:cs="Arial"/>
          <w:b/>
          <w:sz w:val="24"/>
          <w:szCs w:val="24"/>
        </w:rPr>
        <w:t xml:space="preserve">4105002 </w:t>
      </w:r>
      <w:r>
        <w:rPr>
          <w:rFonts w:ascii="Arial" w:hAnsi="Arial" w:cs="Arial"/>
          <w:b/>
          <w:sz w:val="24"/>
          <w:szCs w:val="24"/>
        </w:rPr>
        <w:t xml:space="preserve">- </w:t>
      </w:r>
      <w:r w:rsidR="00EB4BE0" w:rsidRPr="008E18C6">
        <w:rPr>
          <w:rFonts w:ascii="Arial" w:hAnsi="Arial" w:cs="Arial"/>
          <w:b/>
          <w:sz w:val="24"/>
          <w:szCs w:val="24"/>
        </w:rPr>
        <w:t>Programa Patrimonio, arte y cultura</w:t>
      </w:r>
    </w:p>
    <w:p w:rsidR="008E18C6" w:rsidRDefault="008E18C6" w:rsidP="008E18C6">
      <w:pPr>
        <w:pStyle w:val="Prrafodelista"/>
        <w:tabs>
          <w:tab w:val="left" w:pos="1080"/>
        </w:tabs>
        <w:spacing w:after="0"/>
        <w:ind w:left="0"/>
        <w:rPr>
          <w:rFonts w:ascii="Arial" w:hAnsi="Arial" w:cs="Arial"/>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1717"/>
        <w:gridCol w:w="905"/>
        <w:gridCol w:w="606"/>
        <w:gridCol w:w="2227"/>
        <w:gridCol w:w="716"/>
        <w:gridCol w:w="2675"/>
      </w:tblGrid>
      <w:tr w:rsidR="00EB4BE0">
        <w:trPr>
          <w:trHeight w:val="1021"/>
        </w:trPr>
        <w:tc>
          <w:tcPr>
            <w:tcW w:w="1717"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 del indicador</w:t>
            </w:r>
          </w:p>
        </w:tc>
        <w:tc>
          <w:tcPr>
            <w:tcW w:w="905"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 de medida</w:t>
            </w:r>
          </w:p>
        </w:tc>
        <w:tc>
          <w:tcPr>
            <w:tcW w:w="606"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Línea base 2015</w:t>
            </w:r>
          </w:p>
        </w:tc>
        <w:tc>
          <w:tcPr>
            <w:tcW w:w="2227"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Meta 2016 -2019</w:t>
            </w:r>
          </w:p>
        </w:tc>
        <w:tc>
          <w:tcPr>
            <w:tcW w:w="716"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2017</w:t>
            </w:r>
          </w:p>
        </w:tc>
        <w:tc>
          <w:tcPr>
            <w:tcW w:w="2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cualitativo</w:t>
            </w:r>
          </w:p>
        </w:tc>
      </w:tr>
      <w:tr w:rsidR="00EB4BE0">
        <w:trPr>
          <w:trHeight w:val="650"/>
        </w:trPr>
        <w:tc>
          <w:tcPr>
            <w:tcW w:w="171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Inventario de bienes de interés cultural material BIC, actualizado y registrado en el SIPA.</w:t>
            </w:r>
          </w:p>
        </w:tc>
        <w:tc>
          <w:tcPr>
            <w:tcW w:w="905"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Porcentaje</w:t>
            </w:r>
          </w:p>
        </w:tc>
        <w:tc>
          <w:tcPr>
            <w:tcW w:w="606"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w:t>
            </w:r>
          </w:p>
        </w:tc>
        <w:tc>
          <w:tcPr>
            <w:tcW w:w="222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periodo 2017-2019 Se actualiza y registra en SIPA el 100% del Inventario de bienes de interés cultural material BIC</w:t>
            </w:r>
          </w:p>
        </w:tc>
        <w:tc>
          <w:tcPr>
            <w:tcW w:w="716"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w:t>
            </w:r>
          </w:p>
        </w:tc>
        <w:tc>
          <w:tcPr>
            <w:tcW w:w="2675"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Se están elaborando los estudios previos para la contratación.</w:t>
            </w:r>
          </w:p>
        </w:tc>
      </w:tr>
    </w:tbl>
    <w:p w:rsidR="008E18C6" w:rsidRDefault="008E18C6" w:rsidP="008E18C6">
      <w:pPr>
        <w:pStyle w:val="Prrafodelista"/>
        <w:tabs>
          <w:tab w:val="left" w:pos="525"/>
        </w:tabs>
        <w:spacing w:after="0"/>
        <w:ind w:left="0"/>
        <w:rPr>
          <w:rFonts w:ascii="Arial" w:hAnsi="Arial" w:cs="Arial"/>
          <w:b/>
          <w:sz w:val="24"/>
          <w:szCs w:val="24"/>
        </w:rPr>
      </w:pPr>
    </w:p>
    <w:p w:rsidR="00EB4BE0" w:rsidRDefault="00E57FDC" w:rsidP="008E18C6">
      <w:pPr>
        <w:pStyle w:val="Prrafodelista"/>
        <w:tabs>
          <w:tab w:val="left" w:pos="525"/>
        </w:tabs>
        <w:spacing w:after="0"/>
        <w:ind w:left="0"/>
        <w:rPr>
          <w:rFonts w:ascii="Arial" w:hAnsi="Arial" w:cs="Arial"/>
          <w:b/>
          <w:sz w:val="24"/>
          <w:szCs w:val="24"/>
        </w:rPr>
      </w:pPr>
      <w:r>
        <w:rPr>
          <w:rFonts w:ascii="Arial" w:hAnsi="Arial" w:cs="Arial"/>
          <w:b/>
          <w:sz w:val="24"/>
          <w:szCs w:val="24"/>
        </w:rPr>
        <w:t xml:space="preserve">42 - </w:t>
      </w:r>
      <w:r w:rsidR="00EB4BE0">
        <w:rPr>
          <w:rFonts w:ascii="Arial" w:hAnsi="Arial" w:cs="Arial"/>
          <w:b/>
          <w:sz w:val="24"/>
          <w:szCs w:val="24"/>
        </w:rPr>
        <w:t>EJE CALI AMABLE Y SOSTENIBLE</w:t>
      </w:r>
    </w:p>
    <w:p w:rsidR="00EB4BE0" w:rsidRPr="008E18C6" w:rsidRDefault="00E57FDC" w:rsidP="008E18C6">
      <w:pPr>
        <w:pStyle w:val="Prrafodelista"/>
        <w:tabs>
          <w:tab w:val="left" w:pos="525"/>
        </w:tabs>
        <w:spacing w:after="0"/>
        <w:ind w:left="0"/>
        <w:rPr>
          <w:rFonts w:ascii="Arial" w:hAnsi="Arial" w:cs="Arial"/>
          <w:b/>
          <w:sz w:val="24"/>
          <w:szCs w:val="24"/>
        </w:rPr>
      </w:pPr>
      <w:r w:rsidRPr="008E18C6">
        <w:rPr>
          <w:rFonts w:ascii="Arial" w:hAnsi="Arial" w:cs="Arial"/>
          <w:b/>
          <w:sz w:val="24"/>
          <w:szCs w:val="24"/>
        </w:rPr>
        <w:t xml:space="preserve">4201 </w:t>
      </w:r>
      <w:r>
        <w:rPr>
          <w:rFonts w:ascii="Arial" w:hAnsi="Arial" w:cs="Arial"/>
          <w:b/>
          <w:sz w:val="24"/>
          <w:szCs w:val="24"/>
        </w:rPr>
        <w:t xml:space="preserve">- </w:t>
      </w:r>
      <w:r w:rsidR="00EB4BE0" w:rsidRPr="008E18C6">
        <w:rPr>
          <w:rFonts w:ascii="Arial" w:hAnsi="Arial" w:cs="Arial"/>
          <w:b/>
          <w:sz w:val="24"/>
          <w:szCs w:val="24"/>
        </w:rPr>
        <w:t>Componente Movilidad sostenible, saludable, segura y accesible</w:t>
      </w:r>
    </w:p>
    <w:p w:rsidR="00EB4BE0" w:rsidRDefault="00E57FDC" w:rsidP="008E18C6">
      <w:pPr>
        <w:pStyle w:val="Prrafodelista"/>
        <w:tabs>
          <w:tab w:val="left" w:pos="525"/>
        </w:tabs>
        <w:spacing w:after="0"/>
        <w:ind w:left="0"/>
        <w:rPr>
          <w:rFonts w:ascii="Arial" w:hAnsi="Arial" w:cs="Arial"/>
          <w:b/>
          <w:sz w:val="24"/>
          <w:szCs w:val="24"/>
        </w:rPr>
      </w:pPr>
      <w:r w:rsidRPr="008E18C6">
        <w:rPr>
          <w:rFonts w:ascii="Arial" w:hAnsi="Arial" w:cs="Arial"/>
          <w:b/>
          <w:sz w:val="24"/>
          <w:szCs w:val="24"/>
        </w:rPr>
        <w:t xml:space="preserve">4201002 </w:t>
      </w:r>
      <w:r>
        <w:rPr>
          <w:rFonts w:ascii="Arial" w:hAnsi="Arial" w:cs="Arial"/>
          <w:b/>
          <w:sz w:val="24"/>
          <w:szCs w:val="24"/>
        </w:rPr>
        <w:t xml:space="preserve">- </w:t>
      </w:r>
      <w:r w:rsidR="00EB4BE0" w:rsidRPr="008E18C6">
        <w:rPr>
          <w:rFonts w:ascii="Arial" w:hAnsi="Arial" w:cs="Arial"/>
          <w:b/>
          <w:sz w:val="24"/>
          <w:szCs w:val="24"/>
        </w:rPr>
        <w:t>Programa Movilidad en bicicleta</w:t>
      </w:r>
    </w:p>
    <w:p w:rsidR="008E18C6" w:rsidRPr="008E18C6" w:rsidRDefault="008E18C6" w:rsidP="008E18C6">
      <w:pPr>
        <w:pStyle w:val="Prrafodelista"/>
        <w:tabs>
          <w:tab w:val="left" w:pos="525"/>
        </w:tabs>
        <w:spacing w:after="0"/>
        <w:ind w:left="0"/>
        <w:rPr>
          <w:rFonts w:ascii="Arial" w:hAnsi="Arial" w:cs="Arial"/>
          <w:b/>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1700"/>
        <w:gridCol w:w="715"/>
        <w:gridCol w:w="608"/>
        <w:gridCol w:w="2114"/>
        <w:gridCol w:w="710"/>
        <w:gridCol w:w="3094"/>
      </w:tblGrid>
      <w:tr w:rsidR="00EB4BE0">
        <w:trPr>
          <w:trHeight w:val="326"/>
        </w:trPr>
        <w:tc>
          <w:tcPr>
            <w:tcW w:w="1700"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 del indicador</w:t>
            </w:r>
          </w:p>
        </w:tc>
        <w:tc>
          <w:tcPr>
            <w:tcW w:w="715"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 de medida</w:t>
            </w:r>
          </w:p>
        </w:tc>
        <w:tc>
          <w:tcPr>
            <w:tcW w:w="608"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Línea base 2015</w:t>
            </w:r>
          </w:p>
        </w:tc>
        <w:tc>
          <w:tcPr>
            <w:tcW w:w="2114"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Meta 2016 -2019</w:t>
            </w:r>
          </w:p>
        </w:tc>
        <w:tc>
          <w:tcPr>
            <w:tcW w:w="710"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2017</w:t>
            </w:r>
          </w:p>
        </w:tc>
        <w:tc>
          <w:tcPr>
            <w:tcW w:w="30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cualitativo</w:t>
            </w:r>
          </w:p>
        </w:tc>
      </w:tr>
      <w:tr w:rsidR="00EB4BE0">
        <w:trPr>
          <w:trHeight w:val="326"/>
        </w:trPr>
        <w:tc>
          <w:tcPr>
            <w:tcW w:w="1700"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Política Pública de movilidad en bicicleta formulada</w:t>
            </w:r>
          </w:p>
        </w:tc>
        <w:tc>
          <w:tcPr>
            <w:tcW w:w="71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08"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w:t>
            </w:r>
          </w:p>
        </w:tc>
        <w:tc>
          <w:tcPr>
            <w:tcW w:w="2114"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2018 se formula la Política Pública de Movilidad en Bicicleta</w:t>
            </w:r>
          </w:p>
        </w:tc>
        <w:tc>
          <w:tcPr>
            <w:tcW w:w="710"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w:t>
            </w:r>
          </w:p>
        </w:tc>
        <w:tc>
          <w:tcPr>
            <w:tcW w:w="3094"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Está programada para 2018.</w:t>
            </w:r>
          </w:p>
        </w:tc>
      </w:tr>
    </w:tbl>
    <w:p w:rsidR="00EB4BE0" w:rsidRDefault="00EB4BE0"/>
    <w:p w:rsidR="00EB4BE0" w:rsidRDefault="00E57FDC" w:rsidP="00E57FDC">
      <w:pPr>
        <w:pStyle w:val="Prrafodelista"/>
        <w:tabs>
          <w:tab w:val="left" w:pos="525"/>
        </w:tabs>
        <w:spacing w:after="0"/>
        <w:ind w:left="0"/>
        <w:rPr>
          <w:rFonts w:ascii="Arial" w:hAnsi="Arial" w:cs="Arial"/>
          <w:b/>
          <w:sz w:val="24"/>
          <w:szCs w:val="24"/>
        </w:rPr>
      </w:pPr>
      <w:r w:rsidRPr="00E57FDC">
        <w:rPr>
          <w:rFonts w:ascii="Arial" w:hAnsi="Arial" w:cs="Arial"/>
          <w:b/>
          <w:sz w:val="24"/>
          <w:szCs w:val="24"/>
        </w:rPr>
        <w:t xml:space="preserve">4201005 </w:t>
      </w:r>
      <w:r>
        <w:rPr>
          <w:rFonts w:ascii="Arial" w:hAnsi="Arial" w:cs="Arial"/>
          <w:b/>
          <w:sz w:val="24"/>
          <w:szCs w:val="24"/>
        </w:rPr>
        <w:t xml:space="preserve">- </w:t>
      </w:r>
      <w:r w:rsidR="00EB4BE0" w:rsidRPr="00E57FDC">
        <w:rPr>
          <w:rFonts w:ascii="Arial" w:hAnsi="Arial" w:cs="Arial"/>
          <w:b/>
          <w:sz w:val="24"/>
          <w:szCs w:val="24"/>
        </w:rPr>
        <w:t>Programa Regulación, control y gestión para la optimización del tráfico y la seguridad vial</w:t>
      </w:r>
    </w:p>
    <w:p w:rsidR="00E57FDC" w:rsidRPr="00E57FDC" w:rsidRDefault="00E57FDC" w:rsidP="00E57FDC">
      <w:pPr>
        <w:pStyle w:val="Prrafodelista"/>
        <w:tabs>
          <w:tab w:val="left" w:pos="525"/>
        </w:tabs>
        <w:spacing w:after="0"/>
        <w:ind w:left="0"/>
        <w:rPr>
          <w:rFonts w:ascii="Arial" w:hAnsi="Arial" w:cs="Arial"/>
          <w:b/>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1709"/>
        <w:gridCol w:w="723"/>
        <w:gridCol w:w="605"/>
        <w:gridCol w:w="2114"/>
        <w:gridCol w:w="710"/>
        <w:gridCol w:w="3058"/>
      </w:tblGrid>
      <w:tr w:rsidR="00EB4BE0">
        <w:trPr>
          <w:trHeight w:val="711"/>
          <w:tblHeader/>
        </w:trPr>
        <w:tc>
          <w:tcPr>
            <w:tcW w:w="1709"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 del indicador</w:t>
            </w:r>
          </w:p>
        </w:tc>
        <w:tc>
          <w:tcPr>
            <w:tcW w:w="723"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 de medida</w:t>
            </w:r>
          </w:p>
        </w:tc>
        <w:tc>
          <w:tcPr>
            <w:tcW w:w="605"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Línea base 2015</w:t>
            </w:r>
          </w:p>
        </w:tc>
        <w:tc>
          <w:tcPr>
            <w:tcW w:w="2114"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Meta 2016 -2019</w:t>
            </w:r>
          </w:p>
        </w:tc>
        <w:tc>
          <w:tcPr>
            <w:tcW w:w="710"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2017</w:t>
            </w:r>
          </w:p>
        </w:tc>
        <w:tc>
          <w:tcPr>
            <w:tcW w:w="30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cualitativo</w:t>
            </w:r>
          </w:p>
        </w:tc>
      </w:tr>
      <w:tr w:rsidR="00EB4BE0">
        <w:trPr>
          <w:trHeight w:val="959"/>
        </w:trPr>
        <w:tc>
          <w:tcPr>
            <w:tcW w:w="1709"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Plan Integral de Movilidad Urbana – PIMU, actualizado</w:t>
            </w:r>
          </w:p>
        </w:tc>
        <w:tc>
          <w:tcPr>
            <w:tcW w:w="723"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05"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1</w:t>
            </w:r>
          </w:p>
        </w:tc>
        <w:tc>
          <w:tcPr>
            <w:tcW w:w="2114"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2016-2019 se actualiza el Plan Integral de Movilidad Urbana para Cali</w:t>
            </w:r>
          </w:p>
        </w:tc>
        <w:tc>
          <w:tcPr>
            <w:tcW w:w="710"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0,73</w:t>
            </w:r>
          </w:p>
        </w:tc>
        <w:tc>
          <w:tcPr>
            <w:tcW w:w="305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Es una meta de mantenimiento (no suma). Todos los años se debe actualizar el Plan Integral de Movilidad. En 2016 se actualizó en 100% y en 2017 se viene avanzando en la actualización con un 73%.</w:t>
            </w:r>
          </w:p>
          <w:p w:rsidR="00EB4BE0" w:rsidRDefault="00EB4BE0">
            <w:pPr>
              <w:rPr>
                <w:rFonts w:ascii="Arial" w:eastAsia="Times New Roman" w:hAnsi="Arial" w:cs="Arial"/>
                <w:color w:val="000000"/>
                <w:sz w:val="16"/>
                <w:szCs w:val="16"/>
              </w:rPr>
            </w:pPr>
            <w:r>
              <w:rPr>
                <w:rFonts w:ascii="Arial" w:eastAsia="Times New Roman" w:hAnsi="Arial" w:cs="Arial"/>
                <w:color w:val="000000"/>
                <w:sz w:val="16"/>
                <w:szCs w:val="16"/>
              </w:rPr>
              <w:lastRenderedPageBreak/>
              <w:t>Se espera radicar en la primera semana de octubre en el Concejo Municipal.</w:t>
            </w:r>
          </w:p>
        </w:tc>
      </w:tr>
      <w:tr w:rsidR="00EB4BE0">
        <w:trPr>
          <w:trHeight w:val="959"/>
        </w:trPr>
        <w:tc>
          <w:tcPr>
            <w:tcW w:w="1709"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lastRenderedPageBreak/>
              <w:t>Zonas de Gestión de la Demanda de Transporte (ZGDT): Universidades Sur y Centro Histórico implementadas.</w:t>
            </w:r>
          </w:p>
        </w:tc>
        <w:tc>
          <w:tcPr>
            <w:tcW w:w="723"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05"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w:t>
            </w:r>
          </w:p>
        </w:tc>
        <w:tc>
          <w:tcPr>
            <w:tcW w:w="211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2018-2019 se implementan 2 Zonas de Gestión de la Demanda de Transporte (ZGDT): Universidades Sur y Centro Histórico</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0,0</w:t>
            </w:r>
          </w:p>
        </w:tc>
        <w:tc>
          <w:tcPr>
            <w:tcW w:w="3058"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Está programada para 2018.</w:t>
            </w:r>
          </w:p>
        </w:tc>
      </w:tr>
      <w:tr w:rsidR="00EB4BE0">
        <w:trPr>
          <w:trHeight w:val="690"/>
        </w:trPr>
        <w:tc>
          <w:tcPr>
            <w:tcW w:w="1709"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Zonas de Estacionamiento Regulado implementadas (ZER).</w:t>
            </w:r>
          </w:p>
        </w:tc>
        <w:tc>
          <w:tcPr>
            <w:tcW w:w="723"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05"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w:t>
            </w:r>
          </w:p>
        </w:tc>
        <w:tc>
          <w:tcPr>
            <w:tcW w:w="211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2017-2019 se implementan 12 Zonas de Estacionamiento Regulado implementadas (ZER)</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0,0</w:t>
            </w:r>
          </w:p>
        </w:tc>
        <w:tc>
          <w:tcPr>
            <w:tcW w:w="3058"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El DAPM es corresponsable con la Secretaría de Movilidad para el desarrollo de esta meta. El aporte del DAPM es la planificación de las 12 ZER y le corresponde a la Secretaría de movilidad la implementación. A junio de 2017 se cuenta con el 80% de avance en la planificación de las 12 ZER.</w:t>
            </w:r>
          </w:p>
          <w:p w:rsidR="00EB4BE0" w:rsidRDefault="00EB4BE0">
            <w:pPr>
              <w:rPr>
                <w:rFonts w:ascii="Arial" w:hAnsi="Arial" w:cs="Arial"/>
                <w:color w:val="000000"/>
                <w:sz w:val="16"/>
                <w:szCs w:val="16"/>
              </w:rPr>
            </w:pPr>
            <w:r>
              <w:rPr>
                <w:rFonts w:ascii="Arial" w:hAnsi="Arial" w:cs="Arial"/>
                <w:color w:val="000000"/>
                <w:sz w:val="16"/>
                <w:szCs w:val="16"/>
              </w:rPr>
              <w:t>Se avanza también en la formulación de la política macro de estacionamiento en Cali, la política zonal (ZER, ZGRE), la contribución por estacionamiento de uso público, la regulación tarifaria y la normatividad urbanística para los estacionamientos fuera de vía, a partir del documento técnico elaborado por la Universidad del Valle sobre análisis de oferta y demanda de estacionamientos en vía y fuera de vía en 12 zonas de estacionamiento regulado en la Ciudad.</w:t>
            </w:r>
          </w:p>
        </w:tc>
      </w:tr>
      <w:tr w:rsidR="00EB4BE0">
        <w:trPr>
          <w:trHeight w:val="768"/>
        </w:trPr>
        <w:tc>
          <w:tcPr>
            <w:tcW w:w="1709"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Política pública de movilidad segura, saludable, sostenible y accesible formulada</w:t>
            </w:r>
          </w:p>
        </w:tc>
        <w:tc>
          <w:tcPr>
            <w:tcW w:w="723"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05"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w:t>
            </w:r>
          </w:p>
        </w:tc>
        <w:tc>
          <w:tcPr>
            <w:tcW w:w="211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2018 se formula la Política Pública de Movilidad Segura, sostenible y accesible.</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0,0</w:t>
            </w:r>
          </w:p>
        </w:tc>
        <w:tc>
          <w:tcPr>
            <w:tcW w:w="3058"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Está programada para 2018.</w:t>
            </w:r>
          </w:p>
        </w:tc>
      </w:tr>
    </w:tbl>
    <w:p w:rsidR="00EB4BE0" w:rsidRDefault="00EB4BE0"/>
    <w:p w:rsidR="00EB4BE0" w:rsidRPr="00E57FDC" w:rsidRDefault="00E57FDC" w:rsidP="00E57FDC">
      <w:pPr>
        <w:pStyle w:val="Prrafodelista"/>
        <w:tabs>
          <w:tab w:val="left" w:pos="720"/>
        </w:tabs>
        <w:spacing w:after="0"/>
        <w:ind w:left="0"/>
        <w:rPr>
          <w:rFonts w:ascii="Arial" w:hAnsi="Arial" w:cs="Arial"/>
          <w:b/>
          <w:sz w:val="24"/>
          <w:szCs w:val="24"/>
        </w:rPr>
      </w:pPr>
      <w:r w:rsidRPr="00E57FDC">
        <w:rPr>
          <w:rFonts w:ascii="Arial" w:hAnsi="Arial" w:cs="Arial"/>
          <w:b/>
          <w:sz w:val="24"/>
          <w:szCs w:val="24"/>
        </w:rPr>
        <w:t xml:space="preserve">4202 </w:t>
      </w:r>
      <w:r>
        <w:rPr>
          <w:rFonts w:ascii="Arial" w:hAnsi="Arial" w:cs="Arial"/>
          <w:b/>
          <w:sz w:val="24"/>
          <w:szCs w:val="24"/>
        </w:rPr>
        <w:t xml:space="preserve">- </w:t>
      </w:r>
      <w:r w:rsidR="00EB4BE0" w:rsidRPr="00E57FDC">
        <w:rPr>
          <w:rFonts w:ascii="Arial" w:hAnsi="Arial" w:cs="Arial"/>
          <w:b/>
          <w:sz w:val="24"/>
          <w:szCs w:val="24"/>
        </w:rPr>
        <w:t>Componente Ordenamiento territorial e integración regional</w:t>
      </w:r>
    </w:p>
    <w:p w:rsidR="00EB4BE0" w:rsidRPr="00E57FDC" w:rsidRDefault="00E57FDC" w:rsidP="00E57FDC">
      <w:pPr>
        <w:pStyle w:val="Prrafodelista"/>
        <w:tabs>
          <w:tab w:val="left" w:pos="1080"/>
        </w:tabs>
        <w:spacing w:after="0"/>
        <w:ind w:left="0"/>
        <w:rPr>
          <w:rFonts w:ascii="Arial" w:hAnsi="Arial" w:cs="Arial"/>
          <w:b/>
          <w:sz w:val="24"/>
          <w:szCs w:val="24"/>
        </w:rPr>
      </w:pPr>
      <w:r w:rsidRPr="00E57FDC">
        <w:rPr>
          <w:rFonts w:ascii="Arial" w:hAnsi="Arial" w:cs="Arial"/>
          <w:b/>
          <w:sz w:val="24"/>
          <w:szCs w:val="24"/>
        </w:rPr>
        <w:t xml:space="preserve">4202001 </w:t>
      </w:r>
      <w:r>
        <w:rPr>
          <w:rFonts w:ascii="Arial" w:hAnsi="Arial" w:cs="Arial"/>
          <w:b/>
          <w:sz w:val="24"/>
          <w:szCs w:val="24"/>
        </w:rPr>
        <w:t xml:space="preserve">- </w:t>
      </w:r>
      <w:r w:rsidR="00EB4BE0" w:rsidRPr="00E57FDC">
        <w:rPr>
          <w:rFonts w:ascii="Arial" w:hAnsi="Arial" w:cs="Arial"/>
          <w:b/>
          <w:sz w:val="24"/>
          <w:szCs w:val="24"/>
        </w:rPr>
        <w:t>Programa Planificación y control del territorio</w:t>
      </w:r>
    </w:p>
    <w:p w:rsidR="00E57FDC" w:rsidRDefault="00E57FDC" w:rsidP="00E57FDC">
      <w:pPr>
        <w:pStyle w:val="Prrafodelista"/>
        <w:tabs>
          <w:tab w:val="left" w:pos="1080"/>
        </w:tabs>
        <w:spacing w:after="0"/>
        <w:ind w:left="0"/>
        <w:rPr>
          <w:rFonts w:ascii="Arial" w:hAnsi="Arial" w:cs="Arial"/>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1643"/>
        <w:gridCol w:w="929"/>
        <w:gridCol w:w="645"/>
        <w:gridCol w:w="2002"/>
        <w:gridCol w:w="783"/>
        <w:gridCol w:w="2914"/>
      </w:tblGrid>
      <w:tr w:rsidR="00EB4BE0">
        <w:trPr>
          <w:trHeight w:val="741"/>
          <w:tblHeader/>
        </w:trPr>
        <w:tc>
          <w:tcPr>
            <w:tcW w:w="1643"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 del indicador</w:t>
            </w:r>
          </w:p>
        </w:tc>
        <w:tc>
          <w:tcPr>
            <w:tcW w:w="929"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 de medida</w:t>
            </w:r>
          </w:p>
        </w:tc>
        <w:tc>
          <w:tcPr>
            <w:tcW w:w="645"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Línea base 2015</w:t>
            </w:r>
          </w:p>
        </w:tc>
        <w:tc>
          <w:tcPr>
            <w:tcW w:w="2002"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Meta 2016 -2019</w:t>
            </w:r>
          </w:p>
        </w:tc>
        <w:tc>
          <w:tcPr>
            <w:tcW w:w="783"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2017</w:t>
            </w:r>
          </w:p>
        </w:tc>
        <w:tc>
          <w:tcPr>
            <w:tcW w:w="29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cualitativo</w:t>
            </w:r>
          </w:p>
        </w:tc>
      </w:tr>
      <w:tr w:rsidR="00EB4BE0">
        <w:trPr>
          <w:trHeight w:val="1076"/>
        </w:trPr>
        <w:tc>
          <w:tcPr>
            <w:tcW w:w="1643"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Solicitudes en el Ordenamiento Urbanístico del Territorio, atendidas</w:t>
            </w:r>
          </w:p>
        </w:tc>
        <w:tc>
          <w:tcPr>
            <w:tcW w:w="929"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Porcentaje</w:t>
            </w:r>
          </w:p>
        </w:tc>
        <w:tc>
          <w:tcPr>
            <w:tcW w:w="645"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93,0</w:t>
            </w:r>
          </w:p>
        </w:tc>
        <w:tc>
          <w:tcPr>
            <w:tcW w:w="2002"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periodo 2016-2019 se atiende el 95% de las solicitudes en el Ordenamiento Urbanístico del Territorio</w:t>
            </w:r>
          </w:p>
        </w:tc>
        <w:tc>
          <w:tcPr>
            <w:tcW w:w="783"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55,5%</w:t>
            </w:r>
          </w:p>
        </w:tc>
        <w:tc>
          <w:tcPr>
            <w:tcW w:w="2914"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Es una meta de mantenimiento (no suma). En 2016 se alcanzó el 88,6% y en 2017 se ha alcanzado el 55,5% de atención a las solicitudes en el ordenamiento urbanístico del territorio.</w:t>
            </w:r>
          </w:p>
          <w:p w:rsidR="00EB4BE0" w:rsidRDefault="00EB4BE0">
            <w:pPr>
              <w:rPr>
                <w:rFonts w:ascii="Arial" w:eastAsia="Times New Roman" w:hAnsi="Arial" w:cs="Arial"/>
                <w:color w:val="000000"/>
                <w:sz w:val="16"/>
                <w:szCs w:val="16"/>
              </w:rPr>
            </w:pPr>
            <w:r>
              <w:rPr>
                <w:rFonts w:ascii="Arial" w:eastAsia="Times New Roman" w:hAnsi="Arial" w:cs="Arial"/>
                <w:color w:val="000000"/>
                <w:sz w:val="16"/>
                <w:szCs w:val="16"/>
              </w:rPr>
              <w:t>Se está trabajando en la eficacia y en la eficiencia de los trámites que más representan demoras en la atención.</w:t>
            </w:r>
          </w:p>
        </w:tc>
      </w:tr>
      <w:tr w:rsidR="00EB4BE0">
        <w:trPr>
          <w:trHeight w:val="1005"/>
        </w:trPr>
        <w:tc>
          <w:tcPr>
            <w:tcW w:w="1643"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lastRenderedPageBreak/>
              <w:t>Nomenclatura urbana de Santiago de Cali, mejorada</w:t>
            </w:r>
          </w:p>
        </w:tc>
        <w:tc>
          <w:tcPr>
            <w:tcW w:w="929"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45"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22.429</w:t>
            </w:r>
          </w:p>
        </w:tc>
        <w:tc>
          <w:tcPr>
            <w:tcW w:w="2002"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periodo 2016-2019 se mejoran 50.929 placas dentro del sistema de la nomenclatura urbana de Cali</w:t>
            </w:r>
          </w:p>
        </w:tc>
        <w:tc>
          <w:tcPr>
            <w:tcW w:w="783"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29.794,0</w:t>
            </w:r>
          </w:p>
        </w:tc>
        <w:tc>
          <w:tcPr>
            <w:tcW w:w="2914"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En 2016 se mejoraron 29.794 placas dentro del sistema de la nomenclatura urbana de Cali. En el 2017 Entre octubre y diciembre de 2017 se prevé el mejoramiento de 8.500 más.</w:t>
            </w:r>
          </w:p>
        </w:tc>
      </w:tr>
      <w:tr w:rsidR="00EB4BE0">
        <w:trPr>
          <w:trHeight w:val="1005"/>
        </w:trPr>
        <w:tc>
          <w:tcPr>
            <w:tcW w:w="1643"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Base de datos de nomenclatura urbana, actualizada</w:t>
            </w:r>
          </w:p>
        </w:tc>
        <w:tc>
          <w:tcPr>
            <w:tcW w:w="929"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Porcentaje</w:t>
            </w:r>
          </w:p>
        </w:tc>
        <w:tc>
          <w:tcPr>
            <w:tcW w:w="645"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70,0</w:t>
            </w:r>
          </w:p>
        </w:tc>
        <w:tc>
          <w:tcPr>
            <w:tcW w:w="2002"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periodo 2017-2019 se actualiza el 100% de la base de datos de Nomenclatura urbana de Cali</w:t>
            </w:r>
          </w:p>
        </w:tc>
        <w:tc>
          <w:tcPr>
            <w:tcW w:w="783"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73,7%</w:t>
            </w:r>
          </w:p>
        </w:tc>
        <w:tc>
          <w:tcPr>
            <w:tcW w:w="2914"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La actualización de la base de datos de Nomenclatura urbana de Cali tiene un avance del 73,7%</w:t>
            </w:r>
          </w:p>
          <w:p w:rsidR="00EB4BE0" w:rsidRDefault="00EB4BE0">
            <w:pPr>
              <w:rPr>
                <w:rFonts w:ascii="Arial" w:eastAsia="Times New Roman" w:hAnsi="Arial" w:cs="Arial"/>
                <w:color w:val="000000"/>
                <w:sz w:val="16"/>
                <w:szCs w:val="16"/>
              </w:rPr>
            </w:pPr>
            <w:r>
              <w:rPr>
                <w:rFonts w:ascii="Arial" w:eastAsia="Times New Roman" w:hAnsi="Arial" w:cs="Arial"/>
                <w:color w:val="000000"/>
                <w:sz w:val="16"/>
                <w:szCs w:val="16"/>
              </w:rPr>
              <w:t>En agosto se entregadas al equipo de sistemas la base de datos de la resolución de 2014 (3,182 predios) y la base de datos de la resolución de cambios de nomenclatura de 2015 -2016 (23,663 predios).</w:t>
            </w:r>
          </w:p>
        </w:tc>
      </w:tr>
      <w:tr w:rsidR="00EB4BE0">
        <w:trPr>
          <w:trHeight w:val="734"/>
        </w:trPr>
        <w:tc>
          <w:tcPr>
            <w:tcW w:w="1643"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Estudios de hechos generadores de Plusvalía identificados en instrumentos de planificación adoptados</w:t>
            </w:r>
          </w:p>
        </w:tc>
        <w:tc>
          <w:tcPr>
            <w:tcW w:w="929"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45"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6</w:t>
            </w:r>
          </w:p>
        </w:tc>
        <w:tc>
          <w:tcPr>
            <w:tcW w:w="2002"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periodo 2016-2019 se identifican 9 hechos generadores de plusvalía</w:t>
            </w:r>
          </w:p>
        </w:tc>
        <w:tc>
          <w:tcPr>
            <w:tcW w:w="783"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11,00</w:t>
            </w:r>
          </w:p>
        </w:tc>
        <w:tc>
          <w:tcPr>
            <w:tcW w:w="2914"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Conforme a la meta del PDM, en 2015 la línea base era de 6 estudios de hechos generadores de plusvalía, y esta administración se compromete con otros 9 estudios para completar 15 al 2019. En 2016 se realizaron 3 estudios de hechos generadores (Piedra Chiquita, Marcas Mall y Lituania y Dalandia), y en 2017 se han realizado otros 2 (Plan Parcial Centro Intermodal del Sur, Plan Parcial Cachipay).</w:t>
            </w:r>
          </w:p>
        </w:tc>
      </w:tr>
      <w:tr w:rsidR="00EB4BE0">
        <w:trPr>
          <w:trHeight w:val="734"/>
        </w:trPr>
        <w:tc>
          <w:tcPr>
            <w:tcW w:w="1643"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Planes Parciales adoptados</w:t>
            </w:r>
          </w:p>
        </w:tc>
        <w:tc>
          <w:tcPr>
            <w:tcW w:w="929"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45"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21</w:t>
            </w:r>
          </w:p>
        </w:tc>
        <w:tc>
          <w:tcPr>
            <w:tcW w:w="2002"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2016 - 2019 se adoptan 9 planes parciales</w:t>
            </w:r>
          </w:p>
        </w:tc>
        <w:tc>
          <w:tcPr>
            <w:tcW w:w="783"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25,9</w:t>
            </w:r>
          </w:p>
        </w:tc>
        <w:tc>
          <w:tcPr>
            <w:tcW w:w="2914"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Conforme a la meta del PDM, en 2015 la línea base era de 21 planes parciales adoptados, y esta administración se compromete con otros 9 planes para completar 30 al 2019. En 2016 se adoptaron 3 planes parciales ("Piedra Chiquita", "Marcas Mall" y "Lituania y Dalandia"), y en 2017 están en proceso de adopción otros 2 planes ("Cachipay" y "El Calvario"), con un avance del 95%.</w:t>
            </w:r>
          </w:p>
        </w:tc>
      </w:tr>
      <w:tr w:rsidR="00EB4BE0">
        <w:trPr>
          <w:trHeight w:val="734"/>
        </w:trPr>
        <w:tc>
          <w:tcPr>
            <w:tcW w:w="1643"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Estatuto de Servicios Públicos formulado</w:t>
            </w:r>
          </w:p>
        </w:tc>
        <w:tc>
          <w:tcPr>
            <w:tcW w:w="929"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45"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w:t>
            </w:r>
          </w:p>
        </w:tc>
        <w:tc>
          <w:tcPr>
            <w:tcW w:w="2002"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A diciembre de 2017 se adopta el Estatuto de Servicios Públicos Domiciliarios</w:t>
            </w:r>
          </w:p>
        </w:tc>
        <w:tc>
          <w:tcPr>
            <w:tcW w:w="783"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0,05</w:t>
            </w:r>
          </w:p>
        </w:tc>
        <w:tc>
          <w:tcPr>
            <w:tcW w:w="2914"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En mayo de 2017 se llevó a cabo una evaluación del documento borrador del Estatuto de Servicios Públicos. Una vez evaluado, se identificó la necesidad de ajustarlo y ahondar en las directrices y normativas para localización de la infraestructura de SPD y TIC.</w:t>
            </w:r>
          </w:p>
        </w:tc>
      </w:tr>
      <w:tr w:rsidR="00EB4BE0">
        <w:trPr>
          <w:trHeight w:val="734"/>
        </w:trPr>
        <w:tc>
          <w:tcPr>
            <w:tcW w:w="1643"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Instrumentos derivados del POT reglamentados</w:t>
            </w:r>
          </w:p>
        </w:tc>
        <w:tc>
          <w:tcPr>
            <w:tcW w:w="929"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45"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3</w:t>
            </w:r>
          </w:p>
        </w:tc>
        <w:tc>
          <w:tcPr>
            <w:tcW w:w="2002"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periodo 2016- 2019 se reglamentan 13 instrumentos del POT</w:t>
            </w:r>
          </w:p>
        </w:tc>
        <w:tc>
          <w:tcPr>
            <w:tcW w:w="783"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7,0</w:t>
            </w:r>
          </w:p>
        </w:tc>
        <w:tc>
          <w:tcPr>
            <w:tcW w:w="2914"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 xml:space="preserve">En 2016 se reglamentaron 1) Aportes urbanísticos por mayor edificabilidad, 2) Reconocimiento de equipamientos, 3) Esquemas de implantación y regularización y 4) Procedimiento para formulación de las unidades de planificación urbana y rural. En 2017 se ha avanzado en la reglamentación de 1) Planes Zonales de Ordenamiento en suelo rural suburbano, 2) Compensación de estacionamientos en uso económico y 3) Fondo de aportes urbanísticos por </w:t>
            </w:r>
            <w:r>
              <w:rPr>
                <w:rFonts w:ascii="Arial" w:eastAsia="Times New Roman" w:hAnsi="Arial" w:cs="Arial"/>
                <w:color w:val="000000"/>
                <w:sz w:val="16"/>
                <w:szCs w:val="16"/>
              </w:rPr>
              <w:lastRenderedPageBreak/>
              <w:t>edificabilidad, los cuales se esperan reglamentar a finales de 2017. Los planes maestros de espacio público y equipamientos iniciaron en 2017 la fase 1 de inventario y caracterización, y culminan su formulación en 2018.</w:t>
            </w:r>
          </w:p>
        </w:tc>
      </w:tr>
      <w:tr w:rsidR="00EB4BE0">
        <w:trPr>
          <w:trHeight w:val="1020"/>
        </w:trPr>
        <w:tc>
          <w:tcPr>
            <w:tcW w:w="1643"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lastRenderedPageBreak/>
              <w:t>Unidades de planificación urbana y rural formuladas y adoptadas</w:t>
            </w:r>
          </w:p>
        </w:tc>
        <w:tc>
          <w:tcPr>
            <w:tcW w:w="929"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Porcentaje</w:t>
            </w:r>
          </w:p>
        </w:tc>
        <w:tc>
          <w:tcPr>
            <w:tcW w:w="645"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20,0</w:t>
            </w:r>
          </w:p>
        </w:tc>
        <w:tc>
          <w:tcPr>
            <w:tcW w:w="2002"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A 2019 se formulan y adoptan el 100% de Unidades de Planificación Urbana (15 UPU) y Rural (5 (UPR)</w:t>
            </w:r>
          </w:p>
        </w:tc>
        <w:tc>
          <w:tcPr>
            <w:tcW w:w="783"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51,1</w:t>
            </w:r>
          </w:p>
        </w:tc>
        <w:tc>
          <w:tcPr>
            <w:tcW w:w="2914"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Entre el 2016 y el 2017 se han formulado las UPU 3 Río Cauca, UPU 4 Aguablanca, UPU 7 Versalles, UPU 8 Cerros, UPU 9 Manzana del Saber, UPU 10 Estadio, UPU 11 Santa Elena, UPU 12 Valle del Lili y UPU 13 Meléndez. De las anteriores, las UPU 7, 9 y 10 están en proceso de aprobación en primer debate del Concejo Municipal y se espera que se prueben en septiembre.</w:t>
            </w:r>
            <w:r>
              <w:rPr>
                <w:rFonts w:ascii="Arial" w:eastAsia="Times New Roman" w:hAnsi="Arial" w:cs="Arial"/>
                <w:color w:val="000000"/>
                <w:sz w:val="16"/>
                <w:szCs w:val="16"/>
              </w:rPr>
              <w:br/>
              <w:t>Se encuentran en proceso de formulación las UPU 2 Industrial, UPU 5 Villanueva y UPU 6 Centro.</w:t>
            </w:r>
          </w:p>
        </w:tc>
      </w:tr>
      <w:tr w:rsidR="00EB4BE0">
        <w:trPr>
          <w:trHeight w:val="808"/>
        </w:trPr>
        <w:tc>
          <w:tcPr>
            <w:tcW w:w="1643"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Plan Maestro de servicios públicos domiciliarios y TIC formulado y adoptado.</w:t>
            </w:r>
          </w:p>
        </w:tc>
        <w:tc>
          <w:tcPr>
            <w:tcW w:w="929"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45"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w:t>
            </w:r>
          </w:p>
        </w:tc>
        <w:tc>
          <w:tcPr>
            <w:tcW w:w="2002"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A 2019 se formula y adopta el Plan Maestro de Servicios Públicos domiciliaros y TIC's</w:t>
            </w:r>
          </w:p>
        </w:tc>
        <w:tc>
          <w:tcPr>
            <w:tcW w:w="783"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2914"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Está en proceso de contratación.</w:t>
            </w:r>
          </w:p>
        </w:tc>
      </w:tr>
    </w:tbl>
    <w:p w:rsidR="00EB4BE0" w:rsidRDefault="00EB4BE0"/>
    <w:p w:rsidR="00EB4BE0" w:rsidRPr="00E57FDC" w:rsidRDefault="00E57FDC" w:rsidP="00E57FDC">
      <w:pPr>
        <w:pStyle w:val="Prrafodelista"/>
        <w:tabs>
          <w:tab w:val="left" w:pos="1080"/>
        </w:tabs>
        <w:ind w:left="0"/>
        <w:rPr>
          <w:rFonts w:ascii="Arial" w:hAnsi="Arial" w:cs="Arial"/>
          <w:b/>
          <w:sz w:val="24"/>
          <w:szCs w:val="24"/>
        </w:rPr>
      </w:pPr>
      <w:r w:rsidRPr="00E57FDC">
        <w:rPr>
          <w:rFonts w:ascii="Arial" w:hAnsi="Arial" w:cs="Arial"/>
          <w:b/>
          <w:sz w:val="24"/>
          <w:szCs w:val="24"/>
        </w:rPr>
        <w:t xml:space="preserve">4202002 </w:t>
      </w:r>
      <w:r>
        <w:rPr>
          <w:rFonts w:ascii="Arial" w:hAnsi="Arial" w:cs="Arial"/>
          <w:b/>
          <w:sz w:val="24"/>
          <w:szCs w:val="24"/>
        </w:rPr>
        <w:t xml:space="preserve">- </w:t>
      </w:r>
      <w:r w:rsidR="00EB4BE0" w:rsidRPr="00E57FDC">
        <w:rPr>
          <w:rFonts w:ascii="Arial" w:hAnsi="Arial" w:cs="Arial"/>
          <w:b/>
          <w:sz w:val="24"/>
          <w:szCs w:val="24"/>
        </w:rPr>
        <w:t>Programa Ciudad región</w:t>
      </w:r>
    </w:p>
    <w:tbl>
      <w:tblPr>
        <w:tblW w:w="0" w:type="auto"/>
        <w:tblInd w:w="-10" w:type="dxa"/>
        <w:tblLayout w:type="fixed"/>
        <w:tblCellMar>
          <w:left w:w="70" w:type="dxa"/>
          <w:right w:w="70" w:type="dxa"/>
        </w:tblCellMar>
        <w:tblLook w:val="0000" w:firstRow="0" w:lastRow="0" w:firstColumn="0" w:lastColumn="0" w:noHBand="0" w:noVBand="0"/>
      </w:tblPr>
      <w:tblGrid>
        <w:gridCol w:w="1709"/>
        <w:gridCol w:w="720"/>
        <w:gridCol w:w="610"/>
        <w:gridCol w:w="2126"/>
        <w:gridCol w:w="710"/>
        <w:gridCol w:w="3102"/>
      </w:tblGrid>
      <w:tr w:rsidR="00EB4BE0">
        <w:trPr>
          <w:trHeight w:val="517"/>
        </w:trPr>
        <w:tc>
          <w:tcPr>
            <w:tcW w:w="1709"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 del indicador</w:t>
            </w:r>
          </w:p>
        </w:tc>
        <w:tc>
          <w:tcPr>
            <w:tcW w:w="720"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 de medida</w:t>
            </w:r>
          </w:p>
        </w:tc>
        <w:tc>
          <w:tcPr>
            <w:tcW w:w="610"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Línea base 2015</w:t>
            </w:r>
          </w:p>
        </w:tc>
        <w:tc>
          <w:tcPr>
            <w:tcW w:w="2126"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Meta 2016 -2019</w:t>
            </w:r>
          </w:p>
        </w:tc>
        <w:tc>
          <w:tcPr>
            <w:tcW w:w="710"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2017</w:t>
            </w:r>
          </w:p>
        </w:tc>
        <w:tc>
          <w:tcPr>
            <w:tcW w:w="31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cualitativo</w:t>
            </w:r>
          </w:p>
        </w:tc>
      </w:tr>
      <w:tr w:rsidR="00EB4BE0">
        <w:trPr>
          <w:trHeight w:val="517"/>
        </w:trPr>
        <w:tc>
          <w:tcPr>
            <w:tcW w:w="1709"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Estudios de factibilidad de proyectos de interés común de la ciudad-región realizados</w:t>
            </w:r>
          </w:p>
        </w:tc>
        <w:tc>
          <w:tcPr>
            <w:tcW w:w="720"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10"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w:t>
            </w:r>
          </w:p>
        </w:tc>
        <w:tc>
          <w:tcPr>
            <w:tcW w:w="2126"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2016-2019 se elaboran 4 estudios de factibilidad de proyectos de interés común de la ciudad región</w:t>
            </w:r>
          </w:p>
        </w:tc>
        <w:tc>
          <w:tcPr>
            <w:tcW w:w="710"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3102"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Está en proceso de contratación.</w:t>
            </w:r>
            <w:r>
              <w:t xml:space="preserve"> </w:t>
            </w:r>
            <w:r>
              <w:rPr>
                <w:rFonts w:ascii="Arial" w:eastAsia="Times New Roman" w:hAnsi="Arial" w:cs="Arial"/>
                <w:color w:val="000000"/>
                <w:sz w:val="16"/>
                <w:szCs w:val="16"/>
              </w:rPr>
              <w:t>El documento técnico estará listo en el mes de diciembre de 2017, cuando finalice el contrato interadministrativo con Univalle.</w:t>
            </w:r>
          </w:p>
        </w:tc>
      </w:tr>
      <w:tr w:rsidR="00EB4BE0">
        <w:trPr>
          <w:trHeight w:val="495"/>
        </w:trPr>
        <w:tc>
          <w:tcPr>
            <w:tcW w:w="1709"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Estudios técnicos y financieros de factibilidad del tren de cercanías realizados</w:t>
            </w:r>
          </w:p>
        </w:tc>
        <w:tc>
          <w:tcPr>
            <w:tcW w:w="720"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w:t>
            </w:r>
          </w:p>
        </w:tc>
        <w:tc>
          <w:tcPr>
            <w:tcW w:w="2126"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2018 se elaboran los estudios técnicos y financieros de factibilidad del tren de cercanías.</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0,0</w:t>
            </w:r>
          </w:p>
        </w:tc>
        <w:tc>
          <w:tcPr>
            <w:tcW w:w="3102"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Está programada para 2018.</w:t>
            </w:r>
          </w:p>
        </w:tc>
      </w:tr>
    </w:tbl>
    <w:p w:rsidR="00EB4BE0" w:rsidRDefault="00EB4BE0"/>
    <w:p w:rsidR="00EB4BE0" w:rsidRPr="00E57FDC" w:rsidRDefault="00E57FDC" w:rsidP="00E57FDC">
      <w:pPr>
        <w:pStyle w:val="Prrafodelista"/>
        <w:tabs>
          <w:tab w:val="left" w:pos="720"/>
        </w:tabs>
        <w:spacing w:before="240" w:after="0"/>
        <w:ind w:left="0"/>
        <w:rPr>
          <w:rFonts w:ascii="Arial" w:hAnsi="Arial" w:cs="Arial"/>
          <w:b/>
          <w:sz w:val="24"/>
          <w:szCs w:val="24"/>
        </w:rPr>
      </w:pPr>
      <w:r w:rsidRPr="00E57FDC">
        <w:rPr>
          <w:rFonts w:ascii="Arial" w:hAnsi="Arial" w:cs="Arial"/>
          <w:b/>
          <w:sz w:val="24"/>
          <w:szCs w:val="24"/>
        </w:rPr>
        <w:t xml:space="preserve">4203 </w:t>
      </w:r>
      <w:r>
        <w:rPr>
          <w:rFonts w:ascii="Arial" w:hAnsi="Arial" w:cs="Arial"/>
          <w:b/>
          <w:sz w:val="24"/>
          <w:szCs w:val="24"/>
        </w:rPr>
        <w:t xml:space="preserve">- </w:t>
      </w:r>
      <w:r w:rsidR="00EB4BE0" w:rsidRPr="00E57FDC">
        <w:rPr>
          <w:rFonts w:ascii="Arial" w:hAnsi="Arial" w:cs="Arial"/>
          <w:b/>
          <w:sz w:val="24"/>
          <w:szCs w:val="24"/>
        </w:rPr>
        <w:t>Componente Viviendo mejor y disfrutando más a Cali</w:t>
      </w:r>
    </w:p>
    <w:p w:rsidR="00EB4BE0" w:rsidRDefault="00E57FDC" w:rsidP="00E57FDC">
      <w:pPr>
        <w:pStyle w:val="Prrafodelista"/>
        <w:tabs>
          <w:tab w:val="left" w:pos="1080"/>
        </w:tabs>
        <w:spacing w:after="0"/>
        <w:ind w:left="0"/>
        <w:rPr>
          <w:rFonts w:ascii="Arial" w:hAnsi="Arial" w:cs="Arial"/>
          <w:b/>
          <w:sz w:val="24"/>
          <w:szCs w:val="24"/>
        </w:rPr>
      </w:pPr>
      <w:r w:rsidRPr="00E57FDC">
        <w:rPr>
          <w:rFonts w:ascii="Arial" w:hAnsi="Arial" w:cs="Arial"/>
          <w:b/>
          <w:sz w:val="24"/>
          <w:szCs w:val="24"/>
        </w:rPr>
        <w:t xml:space="preserve">4203002 </w:t>
      </w:r>
      <w:r>
        <w:rPr>
          <w:rFonts w:ascii="Arial" w:hAnsi="Arial" w:cs="Arial"/>
          <w:b/>
          <w:sz w:val="24"/>
          <w:szCs w:val="24"/>
        </w:rPr>
        <w:t xml:space="preserve">- </w:t>
      </w:r>
      <w:r w:rsidR="00EB4BE0" w:rsidRPr="00E57FDC">
        <w:rPr>
          <w:rFonts w:ascii="Arial" w:hAnsi="Arial" w:cs="Arial"/>
          <w:b/>
          <w:sz w:val="24"/>
          <w:szCs w:val="24"/>
        </w:rPr>
        <w:t>Programa Espacios públicos más verdes e incluyentes</w:t>
      </w:r>
    </w:p>
    <w:p w:rsidR="00E57FDC" w:rsidRPr="00E57FDC" w:rsidRDefault="00E57FDC" w:rsidP="00E57FDC">
      <w:pPr>
        <w:pStyle w:val="Prrafodelista"/>
        <w:tabs>
          <w:tab w:val="left" w:pos="1080"/>
        </w:tabs>
        <w:spacing w:after="0"/>
        <w:ind w:left="0"/>
        <w:rPr>
          <w:rFonts w:ascii="Arial" w:hAnsi="Arial" w:cs="Arial"/>
          <w:b/>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1722"/>
        <w:gridCol w:w="724"/>
        <w:gridCol w:w="642"/>
        <w:gridCol w:w="2134"/>
        <w:gridCol w:w="704"/>
        <w:gridCol w:w="3108"/>
      </w:tblGrid>
      <w:tr w:rsidR="00EB4BE0">
        <w:trPr>
          <w:trHeight w:val="854"/>
          <w:tblHeader/>
        </w:trPr>
        <w:tc>
          <w:tcPr>
            <w:tcW w:w="1722"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 del indicador</w:t>
            </w:r>
          </w:p>
        </w:tc>
        <w:tc>
          <w:tcPr>
            <w:tcW w:w="724"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 de medida</w:t>
            </w:r>
          </w:p>
        </w:tc>
        <w:tc>
          <w:tcPr>
            <w:tcW w:w="642"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Línea base 2015</w:t>
            </w:r>
          </w:p>
        </w:tc>
        <w:tc>
          <w:tcPr>
            <w:tcW w:w="2134"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Meta 2016 -2019</w:t>
            </w:r>
          </w:p>
        </w:tc>
        <w:tc>
          <w:tcPr>
            <w:tcW w:w="704"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2017</w:t>
            </w:r>
          </w:p>
        </w:tc>
        <w:tc>
          <w:tcPr>
            <w:tcW w:w="31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cualitativo</w:t>
            </w:r>
          </w:p>
        </w:tc>
      </w:tr>
      <w:tr w:rsidR="00EB4BE0">
        <w:trPr>
          <w:trHeight w:val="854"/>
        </w:trPr>
        <w:tc>
          <w:tcPr>
            <w:tcW w:w="1722"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Mobiliario urbano concesionado con mantenimiento y reposición</w:t>
            </w:r>
          </w:p>
        </w:tc>
        <w:tc>
          <w:tcPr>
            <w:tcW w:w="724"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42"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10.567</w:t>
            </w:r>
          </w:p>
        </w:tc>
        <w:tc>
          <w:tcPr>
            <w:tcW w:w="2134"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 xml:space="preserve">En el periodo 2016-2019 se realiza mantenimiento anual a 10,567 elementos que constituyen el mobiliario urbano </w:t>
            </w:r>
            <w:r>
              <w:rPr>
                <w:rFonts w:ascii="Arial" w:eastAsia="Times New Roman" w:hAnsi="Arial" w:cs="Arial"/>
                <w:sz w:val="16"/>
                <w:szCs w:val="16"/>
              </w:rPr>
              <w:lastRenderedPageBreak/>
              <w:t>concesionado.</w:t>
            </w:r>
          </w:p>
        </w:tc>
        <w:tc>
          <w:tcPr>
            <w:tcW w:w="704"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4.161,0</w:t>
            </w:r>
          </w:p>
        </w:tc>
        <w:tc>
          <w:tcPr>
            <w:tcW w:w="310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Es una meta de mantenimiento. Cada año se hace mantenimiento a las 10.567. A junio, se ha realizado mantenimiento a 4,161 elementos del mobiliario urbano.</w:t>
            </w:r>
          </w:p>
        </w:tc>
      </w:tr>
      <w:tr w:rsidR="00EB4BE0">
        <w:trPr>
          <w:trHeight w:val="619"/>
        </w:trPr>
        <w:tc>
          <w:tcPr>
            <w:tcW w:w="1722"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Política Pública de espacio público municipal formulada y adoptada</w:t>
            </w:r>
          </w:p>
        </w:tc>
        <w:tc>
          <w:tcPr>
            <w:tcW w:w="72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42"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w:t>
            </w:r>
          </w:p>
        </w:tc>
        <w:tc>
          <w:tcPr>
            <w:tcW w:w="213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2017-2019 se formula y adopta la política pública de espacio público municipal</w:t>
            </w:r>
          </w:p>
        </w:tc>
        <w:tc>
          <w:tcPr>
            <w:tcW w:w="704"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0,2</w:t>
            </w:r>
          </w:p>
        </w:tc>
        <w:tc>
          <w:tcPr>
            <w:tcW w:w="3108"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La Política pública de espacio público municipal se formulará durante el 2017 y 2018, y se espera adoptarla en el 2019.</w:t>
            </w:r>
            <w:r>
              <w:rPr>
                <w:rFonts w:ascii="Arial" w:eastAsia="Times New Roman" w:hAnsi="Arial" w:cs="Arial"/>
                <w:color w:val="000000"/>
                <w:sz w:val="16"/>
                <w:szCs w:val="16"/>
              </w:rPr>
              <w:br/>
              <w:t>En el primer semestre de 2017, el DAPM, en coordinación con la Secretaria de Seguridad y Justicia, adelantó la formulación del proyecto de acuerdo por medio del cual se define la “Política pública de regulación y organización de ventas informales en el espacio público del Municipio de Santiago de Cali”, y se presentó al Concejo mediante Acuerdo 070 de 2017 para revisión y aprobación. Lo anterior, hará parte de la política pública de espacio público municipal.</w:t>
            </w:r>
          </w:p>
        </w:tc>
      </w:tr>
    </w:tbl>
    <w:p w:rsidR="00EB4BE0" w:rsidRDefault="00EB4BE0"/>
    <w:p w:rsidR="00EB4BE0" w:rsidRPr="00E57FDC" w:rsidRDefault="00E57FDC" w:rsidP="00E57FDC">
      <w:pPr>
        <w:pStyle w:val="Prrafodelista"/>
        <w:tabs>
          <w:tab w:val="left" w:pos="1080"/>
        </w:tabs>
        <w:ind w:left="0"/>
        <w:rPr>
          <w:rFonts w:ascii="Arial" w:hAnsi="Arial" w:cs="Arial"/>
          <w:b/>
          <w:sz w:val="24"/>
          <w:szCs w:val="24"/>
        </w:rPr>
      </w:pPr>
      <w:r w:rsidRPr="00E57FDC">
        <w:rPr>
          <w:rFonts w:ascii="Arial" w:hAnsi="Arial" w:cs="Arial"/>
          <w:b/>
          <w:sz w:val="24"/>
          <w:szCs w:val="24"/>
        </w:rPr>
        <w:t xml:space="preserve">4203003 </w:t>
      </w:r>
      <w:r>
        <w:rPr>
          <w:rFonts w:ascii="Arial" w:hAnsi="Arial" w:cs="Arial"/>
          <w:b/>
          <w:sz w:val="24"/>
          <w:szCs w:val="24"/>
        </w:rPr>
        <w:t xml:space="preserve">- </w:t>
      </w:r>
      <w:r w:rsidR="00EB4BE0" w:rsidRPr="00E57FDC">
        <w:rPr>
          <w:rFonts w:ascii="Arial" w:hAnsi="Arial" w:cs="Arial"/>
          <w:b/>
          <w:sz w:val="24"/>
          <w:szCs w:val="24"/>
        </w:rPr>
        <w:t>Programa Renovación y redensificación urbana sustentable</w:t>
      </w:r>
    </w:p>
    <w:tbl>
      <w:tblPr>
        <w:tblW w:w="0" w:type="auto"/>
        <w:tblInd w:w="-10" w:type="dxa"/>
        <w:tblLayout w:type="fixed"/>
        <w:tblCellMar>
          <w:left w:w="70" w:type="dxa"/>
          <w:right w:w="70" w:type="dxa"/>
        </w:tblCellMar>
        <w:tblLook w:val="0000" w:firstRow="0" w:lastRow="0" w:firstColumn="0" w:lastColumn="0" w:noHBand="0" w:noVBand="0"/>
      </w:tblPr>
      <w:tblGrid>
        <w:gridCol w:w="1718"/>
        <w:gridCol w:w="723"/>
        <w:gridCol w:w="611"/>
        <w:gridCol w:w="2129"/>
        <w:gridCol w:w="710"/>
        <w:gridCol w:w="3089"/>
      </w:tblGrid>
      <w:tr w:rsidR="00EB4BE0">
        <w:trPr>
          <w:trHeight w:val="481"/>
        </w:trPr>
        <w:tc>
          <w:tcPr>
            <w:tcW w:w="1718"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 del indicador</w:t>
            </w:r>
          </w:p>
        </w:tc>
        <w:tc>
          <w:tcPr>
            <w:tcW w:w="723"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 de medida</w:t>
            </w:r>
          </w:p>
        </w:tc>
        <w:tc>
          <w:tcPr>
            <w:tcW w:w="611"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Línea base 2015</w:t>
            </w:r>
          </w:p>
        </w:tc>
        <w:tc>
          <w:tcPr>
            <w:tcW w:w="2129"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Meta 2016 -2019</w:t>
            </w:r>
          </w:p>
        </w:tc>
        <w:tc>
          <w:tcPr>
            <w:tcW w:w="710"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2017</w:t>
            </w:r>
          </w:p>
        </w:tc>
        <w:tc>
          <w:tcPr>
            <w:tcW w:w="30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cualitativo</w:t>
            </w:r>
          </w:p>
        </w:tc>
      </w:tr>
      <w:tr w:rsidR="00EB4BE0">
        <w:trPr>
          <w:trHeight w:val="481"/>
        </w:trPr>
        <w:tc>
          <w:tcPr>
            <w:tcW w:w="1718"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Formulación e implementación de proyecto de intervención integral de espacio público y peatonalización en zonas estratégicas de la ciudad</w:t>
            </w:r>
          </w:p>
        </w:tc>
        <w:tc>
          <w:tcPr>
            <w:tcW w:w="723"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11"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w:t>
            </w:r>
          </w:p>
        </w:tc>
        <w:tc>
          <w:tcPr>
            <w:tcW w:w="2129"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2016 - 2019 se formulan e implementan 3 proyectos de intervención integral de espacio público y peatonalización en zonas estratégicas de la ciudad</w:t>
            </w:r>
          </w:p>
        </w:tc>
        <w:tc>
          <w:tcPr>
            <w:tcW w:w="710"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0,1</w:t>
            </w:r>
          </w:p>
        </w:tc>
        <w:tc>
          <w:tcPr>
            <w:tcW w:w="3089"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En 2017 se realizó, en articulación con EMCALI y la Secretaría de Infraestructura, la evaluación de viabilidad para la construcción de un proyecto de intervención de espacio público en el Centro Histórico de Cali, específicamente en la zona comprendida entre las calles 5 y 8 y entre las carreras 1 y 6.</w:t>
            </w:r>
          </w:p>
        </w:tc>
      </w:tr>
    </w:tbl>
    <w:p w:rsidR="00E57FDC" w:rsidRDefault="00E57FDC" w:rsidP="00E57FDC">
      <w:pPr>
        <w:pStyle w:val="Prrafodelista"/>
        <w:tabs>
          <w:tab w:val="left" w:pos="720"/>
        </w:tabs>
        <w:spacing w:after="0"/>
        <w:ind w:left="0"/>
        <w:rPr>
          <w:rFonts w:ascii="Arial" w:hAnsi="Arial" w:cs="Arial"/>
          <w:b/>
          <w:sz w:val="24"/>
          <w:szCs w:val="24"/>
        </w:rPr>
      </w:pPr>
    </w:p>
    <w:p w:rsidR="00EB4BE0" w:rsidRPr="00E57FDC" w:rsidRDefault="00E57FDC" w:rsidP="00E57FDC">
      <w:pPr>
        <w:pStyle w:val="Prrafodelista"/>
        <w:tabs>
          <w:tab w:val="left" w:pos="720"/>
        </w:tabs>
        <w:spacing w:after="0"/>
        <w:ind w:left="0"/>
        <w:rPr>
          <w:rFonts w:ascii="Arial" w:hAnsi="Arial" w:cs="Arial"/>
          <w:b/>
          <w:sz w:val="24"/>
          <w:szCs w:val="24"/>
        </w:rPr>
      </w:pPr>
      <w:r w:rsidRPr="00E57FDC">
        <w:rPr>
          <w:rFonts w:ascii="Arial" w:hAnsi="Arial" w:cs="Arial"/>
          <w:b/>
          <w:sz w:val="24"/>
          <w:szCs w:val="24"/>
        </w:rPr>
        <w:t xml:space="preserve">4205 </w:t>
      </w:r>
      <w:r>
        <w:rPr>
          <w:rFonts w:ascii="Arial" w:hAnsi="Arial" w:cs="Arial"/>
          <w:b/>
          <w:sz w:val="24"/>
          <w:szCs w:val="24"/>
        </w:rPr>
        <w:t xml:space="preserve">- </w:t>
      </w:r>
      <w:r w:rsidR="00EB4BE0" w:rsidRPr="00E57FDC">
        <w:rPr>
          <w:rFonts w:ascii="Arial" w:hAnsi="Arial" w:cs="Arial"/>
          <w:b/>
          <w:sz w:val="24"/>
          <w:szCs w:val="24"/>
        </w:rPr>
        <w:t>Componente Gestión integral del riesgo de desastres</w:t>
      </w:r>
    </w:p>
    <w:p w:rsidR="00EB4BE0" w:rsidRDefault="00E57FDC" w:rsidP="00E57FDC">
      <w:pPr>
        <w:pStyle w:val="Prrafodelista"/>
        <w:tabs>
          <w:tab w:val="left" w:pos="1080"/>
        </w:tabs>
        <w:spacing w:after="0"/>
        <w:ind w:left="0"/>
        <w:rPr>
          <w:rFonts w:ascii="Arial" w:hAnsi="Arial" w:cs="Arial"/>
          <w:b/>
          <w:sz w:val="24"/>
          <w:szCs w:val="24"/>
        </w:rPr>
      </w:pPr>
      <w:r w:rsidRPr="00E57FDC">
        <w:rPr>
          <w:rFonts w:ascii="Arial" w:hAnsi="Arial" w:cs="Arial"/>
          <w:b/>
          <w:sz w:val="24"/>
          <w:szCs w:val="24"/>
        </w:rPr>
        <w:t xml:space="preserve">4205001 </w:t>
      </w:r>
      <w:r>
        <w:rPr>
          <w:rFonts w:ascii="Arial" w:hAnsi="Arial" w:cs="Arial"/>
          <w:b/>
          <w:sz w:val="24"/>
          <w:szCs w:val="24"/>
        </w:rPr>
        <w:t xml:space="preserve">- </w:t>
      </w:r>
      <w:r w:rsidR="00EB4BE0" w:rsidRPr="00E57FDC">
        <w:rPr>
          <w:rFonts w:ascii="Arial" w:hAnsi="Arial" w:cs="Arial"/>
          <w:b/>
          <w:sz w:val="24"/>
          <w:szCs w:val="24"/>
        </w:rPr>
        <w:t>Programa Conocimiento de riesgos</w:t>
      </w:r>
    </w:p>
    <w:p w:rsidR="00E57FDC" w:rsidRPr="00E57FDC" w:rsidRDefault="00E57FDC" w:rsidP="00E57FDC">
      <w:pPr>
        <w:pStyle w:val="Prrafodelista"/>
        <w:tabs>
          <w:tab w:val="left" w:pos="1080"/>
        </w:tabs>
        <w:spacing w:after="0"/>
        <w:ind w:left="0"/>
        <w:rPr>
          <w:rFonts w:ascii="Arial" w:hAnsi="Arial" w:cs="Arial"/>
          <w:b/>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1663"/>
        <w:gridCol w:w="924"/>
        <w:gridCol w:w="606"/>
        <w:gridCol w:w="2058"/>
        <w:gridCol w:w="704"/>
        <w:gridCol w:w="2970"/>
      </w:tblGrid>
      <w:tr w:rsidR="00EB4BE0">
        <w:trPr>
          <w:trHeight w:val="447"/>
        </w:trPr>
        <w:tc>
          <w:tcPr>
            <w:tcW w:w="1663"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 del indicador</w:t>
            </w:r>
          </w:p>
        </w:tc>
        <w:tc>
          <w:tcPr>
            <w:tcW w:w="924"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 de medida</w:t>
            </w:r>
          </w:p>
        </w:tc>
        <w:tc>
          <w:tcPr>
            <w:tcW w:w="606"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Línea base 2015</w:t>
            </w:r>
          </w:p>
        </w:tc>
        <w:tc>
          <w:tcPr>
            <w:tcW w:w="2058"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Meta 2016 -2019</w:t>
            </w:r>
          </w:p>
        </w:tc>
        <w:tc>
          <w:tcPr>
            <w:tcW w:w="704"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2017</w:t>
            </w:r>
          </w:p>
        </w:tc>
        <w:tc>
          <w:tcPr>
            <w:tcW w:w="29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cualitativo</w:t>
            </w:r>
          </w:p>
        </w:tc>
      </w:tr>
      <w:tr w:rsidR="00EB4BE0">
        <w:trPr>
          <w:trHeight w:val="447"/>
        </w:trPr>
        <w:tc>
          <w:tcPr>
            <w:tcW w:w="1663"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Evaluación de riesgo por sismos y movimientos en masa elaborada</w:t>
            </w:r>
          </w:p>
        </w:tc>
        <w:tc>
          <w:tcPr>
            <w:tcW w:w="924"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Porcentaje</w:t>
            </w:r>
          </w:p>
        </w:tc>
        <w:tc>
          <w:tcPr>
            <w:tcW w:w="606"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40,0</w:t>
            </w:r>
          </w:p>
        </w:tc>
        <w:tc>
          <w:tcPr>
            <w:tcW w:w="2058"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2016-2019 se realizan las evaluaciones de riesgo por sismos y por movimientos en masa</w:t>
            </w:r>
          </w:p>
        </w:tc>
        <w:tc>
          <w:tcPr>
            <w:tcW w:w="704"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67,0</w:t>
            </w:r>
          </w:p>
        </w:tc>
        <w:tc>
          <w:tcPr>
            <w:tcW w:w="2970"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Se ha completado la evaluación del riesgo por movimientos en masa para la zona de ladera urbana y se trabaja en la evaluación del riesgo por movimientos en masa para los centros poblados rurales. En mayo, se dio inicio a la primera etapa de la evaluación del riesgo sísmico para la zona urbana que cubre 250 hectáreas.</w:t>
            </w:r>
          </w:p>
          <w:p w:rsidR="00EB4BE0" w:rsidRDefault="00EB4BE0">
            <w:pPr>
              <w:rPr>
                <w:rFonts w:ascii="Arial" w:eastAsia="Times New Roman" w:hAnsi="Arial" w:cs="Arial"/>
                <w:color w:val="000000"/>
                <w:sz w:val="16"/>
                <w:szCs w:val="16"/>
              </w:rPr>
            </w:pPr>
            <w:r>
              <w:rPr>
                <w:rFonts w:ascii="Arial" w:eastAsia="Times New Roman" w:hAnsi="Arial" w:cs="Arial"/>
                <w:color w:val="000000"/>
                <w:sz w:val="16"/>
                <w:szCs w:val="16"/>
              </w:rPr>
              <w:t>En general, se lleva un avance del 67%.</w:t>
            </w:r>
          </w:p>
        </w:tc>
      </w:tr>
    </w:tbl>
    <w:p w:rsidR="00EB4BE0" w:rsidRPr="00E57FDC" w:rsidRDefault="00E57FDC" w:rsidP="00E57FDC">
      <w:pPr>
        <w:pStyle w:val="Prrafodelista"/>
        <w:tabs>
          <w:tab w:val="left" w:pos="720"/>
        </w:tabs>
        <w:spacing w:before="240" w:after="0"/>
        <w:ind w:left="0"/>
        <w:rPr>
          <w:rFonts w:ascii="Arial" w:hAnsi="Arial" w:cs="Arial"/>
          <w:b/>
          <w:sz w:val="24"/>
          <w:szCs w:val="24"/>
        </w:rPr>
      </w:pPr>
      <w:r w:rsidRPr="00E57FDC">
        <w:rPr>
          <w:rFonts w:ascii="Arial" w:hAnsi="Arial" w:cs="Arial"/>
          <w:b/>
          <w:sz w:val="24"/>
          <w:szCs w:val="24"/>
        </w:rPr>
        <w:lastRenderedPageBreak/>
        <w:t xml:space="preserve">4206 </w:t>
      </w:r>
      <w:r>
        <w:rPr>
          <w:rFonts w:ascii="Arial" w:hAnsi="Arial" w:cs="Arial"/>
          <w:b/>
          <w:sz w:val="24"/>
          <w:szCs w:val="24"/>
        </w:rPr>
        <w:t xml:space="preserve">- </w:t>
      </w:r>
      <w:r w:rsidR="00EB4BE0" w:rsidRPr="00E57FDC">
        <w:rPr>
          <w:rFonts w:ascii="Arial" w:hAnsi="Arial" w:cs="Arial"/>
          <w:b/>
          <w:sz w:val="24"/>
          <w:szCs w:val="24"/>
        </w:rPr>
        <w:t>Componente Gestión eficiente para la prestación de los servicios públicos</w:t>
      </w:r>
    </w:p>
    <w:p w:rsidR="00EB4BE0" w:rsidRDefault="00E57FDC" w:rsidP="00E57FDC">
      <w:pPr>
        <w:pStyle w:val="Prrafodelista"/>
        <w:tabs>
          <w:tab w:val="left" w:pos="1080"/>
        </w:tabs>
        <w:spacing w:after="0"/>
        <w:ind w:left="0"/>
        <w:rPr>
          <w:rFonts w:ascii="Arial" w:hAnsi="Arial" w:cs="Arial"/>
          <w:b/>
          <w:sz w:val="24"/>
          <w:szCs w:val="24"/>
        </w:rPr>
      </w:pPr>
      <w:r w:rsidRPr="00E57FDC">
        <w:rPr>
          <w:rFonts w:ascii="Arial" w:hAnsi="Arial" w:cs="Arial"/>
          <w:b/>
          <w:sz w:val="24"/>
          <w:szCs w:val="24"/>
        </w:rPr>
        <w:t xml:space="preserve">4206001 </w:t>
      </w:r>
      <w:r>
        <w:rPr>
          <w:rFonts w:ascii="Arial" w:hAnsi="Arial" w:cs="Arial"/>
          <w:b/>
          <w:sz w:val="24"/>
          <w:szCs w:val="24"/>
        </w:rPr>
        <w:t xml:space="preserve">- </w:t>
      </w:r>
      <w:r w:rsidR="00EB4BE0" w:rsidRPr="00E57FDC">
        <w:rPr>
          <w:rFonts w:ascii="Arial" w:hAnsi="Arial" w:cs="Arial"/>
          <w:b/>
          <w:sz w:val="24"/>
          <w:szCs w:val="24"/>
        </w:rPr>
        <w:t>Programa Servicios públicos domiciliarios y TIC</w:t>
      </w:r>
    </w:p>
    <w:p w:rsidR="00E57FDC" w:rsidRPr="00E57FDC" w:rsidRDefault="00E57FDC" w:rsidP="00E57FDC">
      <w:pPr>
        <w:pStyle w:val="Prrafodelista"/>
        <w:tabs>
          <w:tab w:val="left" w:pos="1080"/>
        </w:tabs>
        <w:spacing w:after="0"/>
        <w:ind w:left="0"/>
        <w:rPr>
          <w:rFonts w:ascii="Arial" w:hAnsi="Arial" w:cs="Arial"/>
          <w:b/>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1715"/>
        <w:gridCol w:w="723"/>
        <w:gridCol w:w="611"/>
        <w:gridCol w:w="2130"/>
        <w:gridCol w:w="710"/>
        <w:gridCol w:w="3089"/>
      </w:tblGrid>
      <w:tr w:rsidR="00EB4BE0">
        <w:trPr>
          <w:trHeight w:val="459"/>
        </w:trPr>
        <w:tc>
          <w:tcPr>
            <w:tcW w:w="1715"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 del indicador</w:t>
            </w:r>
          </w:p>
        </w:tc>
        <w:tc>
          <w:tcPr>
            <w:tcW w:w="723"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 de medida</w:t>
            </w:r>
          </w:p>
        </w:tc>
        <w:tc>
          <w:tcPr>
            <w:tcW w:w="611"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Línea base 2015</w:t>
            </w:r>
          </w:p>
        </w:tc>
        <w:tc>
          <w:tcPr>
            <w:tcW w:w="2130"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Meta 2016 -2019</w:t>
            </w:r>
          </w:p>
        </w:tc>
        <w:tc>
          <w:tcPr>
            <w:tcW w:w="710"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2017</w:t>
            </w:r>
          </w:p>
        </w:tc>
        <w:tc>
          <w:tcPr>
            <w:tcW w:w="30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cualitativo</w:t>
            </w:r>
          </w:p>
        </w:tc>
      </w:tr>
      <w:tr w:rsidR="00EB4BE0">
        <w:trPr>
          <w:trHeight w:val="459"/>
        </w:trPr>
        <w:tc>
          <w:tcPr>
            <w:tcW w:w="1715"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Intervenciones de espacio público para provisión de Servicios Públicos Domiciliarios y TIC aprobadas y ejecutadas.</w:t>
            </w:r>
          </w:p>
        </w:tc>
        <w:tc>
          <w:tcPr>
            <w:tcW w:w="723"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11"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244,0</w:t>
            </w:r>
          </w:p>
        </w:tc>
        <w:tc>
          <w:tcPr>
            <w:tcW w:w="2130"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periodo 2016-2019 se aprueban 1.206 Intervenciones de espacio público para provisión de Servicios Públicos Domiciliarios y TIC</w:t>
            </w:r>
          </w:p>
        </w:tc>
        <w:tc>
          <w:tcPr>
            <w:tcW w:w="710"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706,0</w:t>
            </w:r>
          </w:p>
        </w:tc>
        <w:tc>
          <w:tcPr>
            <w:tcW w:w="3089"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Se han aprobado 706 intervenciones de espacio público para provisión de Servicios Públicos Domiciliarios y TIC</w:t>
            </w:r>
          </w:p>
        </w:tc>
      </w:tr>
    </w:tbl>
    <w:p w:rsidR="00EB4BE0" w:rsidRDefault="00EB4BE0"/>
    <w:p w:rsidR="00EB4BE0" w:rsidRPr="00E57FDC" w:rsidRDefault="00E57FDC" w:rsidP="00E57FDC">
      <w:pPr>
        <w:pStyle w:val="Prrafodelista"/>
        <w:tabs>
          <w:tab w:val="left" w:pos="1080"/>
        </w:tabs>
        <w:ind w:left="0"/>
        <w:rPr>
          <w:rFonts w:ascii="Arial" w:hAnsi="Arial" w:cs="Arial"/>
          <w:b/>
          <w:sz w:val="24"/>
          <w:szCs w:val="24"/>
        </w:rPr>
      </w:pPr>
      <w:r w:rsidRPr="00E57FDC">
        <w:rPr>
          <w:rFonts w:ascii="Arial" w:hAnsi="Arial" w:cs="Arial"/>
          <w:b/>
          <w:sz w:val="24"/>
          <w:szCs w:val="24"/>
        </w:rPr>
        <w:t xml:space="preserve">4206002 </w:t>
      </w:r>
      <w:r>
        <w:rPr>
          <w:rFonts w:ascii="Arial" w:hAnsi="Arial" w:cs="Arial"/>
          <w:b/>
          <w:sz w:val="24"/>
          <w:szCs w:val="24"/>
        </w:rPr>
        <w:t xml:space="preserve">- </w:t>
      </w:r>
      <w:r w:rsidR="00EB4BE0" w:rsidRPr="00E57FDC">
        <w:rPr>
          <w:rFonts w:ascii="Arial" w:hAnsi="Arial" w:cs="Arial"/>
          <w:b/>
          <w:sz w:val="24"/>
          <w:szCs w:val="24"/>
        </w:rPr>
        <w:t>Programa Gestión integral de residuos sólidos.</w:t>
      </w:r>
    </w:p>
    <w:tbl>
      <w:tblPr>
        <w:tblW w:w="0" w:type="auto"/>
        <w:tblInd w:w="-10" w:type="dxa"/>
        <w:tblLayout w:type="fixed"/>
        <w:tblCellMar>
          <w:left w:w="70" w:type="dxa"/>
          <w:right w:w="70" w:type="dxa"/>
        </w:tblCellMar>
        <w:tblLook w:val="0000" w:firstRow="0" w:lastRow="0" w:firstColumn="0" w:lastColumn="0" w:noHBand="0" w:noVBand="0"/>
      </w:tblPr>
      <w:tblGrid>
        <w:gridCol w:w="1699"/>
        <w:gridCol w:w="732"/>
        <w:gridCol w:w="605"/>
        <w:gridCol w:w="2102"/>
        <w:gridCol w:w="710"/>
        <w:gridCol w:w="3057"/>
      </w:tblGrid>
      <w:tr w:rsidR="00EB4BE0">
        <w:trPr>
          <w:trHeight w:val="760"/>
          <w:tblHeader/>
        </w:trPr>
        <w:tc>
          <w:tcPr>
            <w:tcW w:w="1699"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 del indicador</w:t>
            </w:r>
          </w:p>
        </w:tc>
        <w:tc>
          <w:tcPr>
            <w:tcW w:w="732"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 de medida</w:t>
            </w:r>
          </w:p>
        </w:tc>
        <w:tc>
          <w:tcPr>
            <w:tcW w:w="605"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Línea base 2015</w:t>
            </w:r>
          </w:p>
        </w:tc>
        <w:tc>
          <w:tcPr>
            <w:tcW w:w="2102"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Meta 2016 -2019</w:t>
            </w:r>
          </w:p>
        </w:tc>
        <w:tc>
          <w:tcPr>
            <w:tcW w:w="710"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2017</w:t>
            </w:r>
          </w:p>
        </w:tc>
        <w:tc>
          <w:tcPr>
            <w:tcW w:w="30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cualitativo</w:t>
            </w:r>
          </w:p>
        </w:tc>
      </w:tr>
      <w:tr w:rsidR="00EB4BE0">
        <w:trPr>
          <w:trHeight w:val="1945"/>
        </w:trPr>
        <w:tc>
          <w:tcPr>
            <w:tcW w:w="1699"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Mecanismos de Información, Educación y Comunicación en el marco del Plan de Gestión Integral de Residuos Sólidos – PGIRS del Municipio diseñadas</w:t>
            </w:r>
          </w:p>
        </w:tc>
        <w:tc>
          <w:tcPr>
            <w:tcW w:w="732"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05"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1</w:t>
            </w:r>
          </w:p>
        </w:tc>
        <w:tc>
          <w:tcPr>
            <w:tcW w:w="2102"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Periodo 2016-2019 se diseñan 2 mecanismos IEC en el marco del Plan de Gestión Integral de Residuos Sólidos - PGIRS del Municipio</w:t>
            </w:r>
          </w:p>
        </w:tc>
        <w:tc>
          <w:tcPr>
            <w:tcW w:w="710"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0,0</w:t>
            </w:r>
          </w:p>
        </w:tc>
        <w:tc>
          <w:tcPr>
            <w:tcW w:w="3057"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Desde el inicio de año se evaluaron posibles candidatos para el desarrollo de los mecanismos IEC, evidenciándose como primer oferente potencial empresas privadas de publicidad con las que se realizó acercamiento. No obstante, este acercamiento permitió evidenciar una falta de interés por parte de este sector.</w:t>
            </w:r>
          </w:p>
          <w:p w:rsidR="00EB4BE0" w:rsidRDefault="00EB4BE0">
            <w:pPr>
              <w:rPr>
                <w:rFonts w:ascii="Arial" w:eastAsia="Times New Roman" w:hAnsi="Arial" w:cs="Arial"/>
                <w:color w:val="000000"/>
                <w:sz w:val="16"/>
                <w:szCs w:val="16"/>
              </w:rPr>
            </w:pPr>
            <w:r>
              <w:rPr>
                <w:rFonts w:ascii="Arial" w:eastAsia="Times New Roman" w:hAnsi="Arial" w:cs="Arial"/>
                <w:color w:val="000000"/>
                <w:sz w:val="16"/>
                <w:szCs w:val="16"/>
              </w:rPr>
              <w:t>Con base en dicho estudio de mercado y los objetivos propuestos, se realizaron pliegos de condiciones y se abrió concurso de méritos, el cual por falta de proponentes se declaró desierto. A raíz de esto se planteó suscribir un contrato interadministrativo, para lo cual se realizó acercamiento con el Sena, Universidad de Caldas, Bellas Artes y Universidad del Valle. Actualmente Universidad de Caldas y Sena manifestaron no tener la capacidad en este momento para su desarrollo por encontrarse ya con otros compromisos. Sin embargo, se continúa la gestión ante Bellas Artes y Universidad del Valle, con base en las cuales se espera poder cumplir la meta establecida para 2017.</w:t>
            </w:r>
          </w:p>
        </w:tc>
      </w:tr>
      <w:tr w:rsidR="00EB4BE0">
        <w:trPr>
          <w:trHeight w:val="1573"/>
        </w:trPr>
        <w:tc>
          <w:tcPr>
            <w:tcW w:w="1699"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Plan de Gestión Integral de Residuos Sólidos –PGIRS con seguimiento y evaluación realizada</w:t>
            </w:r>
          </w:p>
        </w:tc>
        <w:tc>
          <w:tcPr>
            <w:tcW w:w="732"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05"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w:t>
            </w:r>
          </w:p>
        </w:tc>
        <w:tc>
          <w:tcPr>
            <w:tcW w:w="2102"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2016-2019 se realiza anualmente seguimiento y evaluación del Plan de Gestión Integral de Residuos Sólidos -PGIRS del Municipio</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1,18</w:t>
            </w:r>
          </w:p>
        </w:tc>
        <w:tc>
          <w:tcPr>
            <w:tcW w:w="3057"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Conforme a la meta del PDM, se debe hacer cada año seguimiento y evaluación al PGIS, para completar 4 en 2019. En 2016 se hizo el respectivo seguimiento y evaluación, y en 2017 se lleva un avance del 18% del seguimiento.</w:t>
            </w:r>
          </w:p>
          <w:p w:rsidR="00EB4BE0" w:rsidRDefault="00EB4BE0">
            <w:pPr>
              <w:rPr>
                <w:rFonts w:ascii="Arial" w:eastAsia="Times New Roman" w:hAnsi="Arial" w:cs="Arial"/>
                <w:color w:val="000000"/>
                <w:sz w:val="16"/>
                <w:szCs w:val="16"/>
              </w:rPr>
            </w:pPr>
            <w:r>
              <w:rPr>
                <w:rFonts w:ascii="Arial" w:eastAsia="Times New Roman" w:hAnsi="Arial" w:cs="Arial"/>
                <w:color w:val="000000"/>
                <w:sz w:val="16"/>
                <w:szCs w:val="16"/>
              </w:rPr>
              <w:t>Se está recopilando la información para realizar el informe anual de seguimiento y evaluación del PGIRS, en comparación con el año anterior se evidencia una mejor respuesta de las diferentes entidades respecto al instrumento de captura de información para evaluación del PGIRS, con base en lo cual se prevé que a diciembre 2017 se cumplirá con el reporte anual, alcanzando un informe en 2017, con un total de 2 informes anuales en el período 2016 - 2017.</w:t>
            </w:r>
          </w:p>
        </w:tc>
      </w:tr>
    </w:tbl>
    <w:p w:rsidR="00EB4BE0" w:rsidRDefault="00EB4BE0"/>
    <w:p w:rsidR="00EB4BE0" w:rsidRPr="00E57FDC" w:rsidRDefault="00E57FDC" w:rsidP="00E57FDC">
      <w:pPr>
        <w:pStyle w:val="Prrafodelista"/>
        <w:spacing w:after="0"/>
        <w:ind w:left="0"/>
        <w:rPr>
          <w:rFonts w:ascii="Arial" w:hAnsi="Arial" w:cs="Arial"/>
          <w:b/>
          <w:sz w:val="24"/>
          <w:szCs w:val="24"/>
        </w:rPr>
      </w:pPr>
      <w:r w:rsidRPr="00E57FDC">
        <w:rPr>
          <w:rFonts w:ascii="Arial" w:hAnsi="Arial" w:cs="Arial"/>
          <w:b/>
          <w:sz w:val="24"/>
          <w:szCs w:val="24"/>
        </w:rPr>
        <w:t xml:space="preserve">45 </w:t>
      </w:r>
      <w:r>
        <w:rPr>
          <w:rFonts w:ascii="Arial" w:hAnsi="Arial" w:cs="Arial"/>
          <w:b/>
          <w:sz w:val="24"/>
          <w:szCs w:val="24"/>
        </w:rPr>
        <w:t xml:space="preserve">- </w:t>
      </w:r>
      <w:r w:rsidR="00EB4BE0" w:rsidRPr="00E57FDC">
        <w:rPr>
          <w:rFonts w:ascii="Arial" w:hAnsi="Arial" w:cs="Arial"/>
          <w:b/>
          <w:sz w:val="24"/>
          <w:szCs w:val="24"/>
        </w:rPr>
        <w:t>EJE CALI PARTICIPATIVA Y BIEN GOBERNADA</w:t>
      </w:r>
    </w:p>
    <w:p w:rsidR="00EB4BE0" w:rsidRPr="00E57FDC" w:rsidRDefault="00E57FDC" w:rsidP="00E57FDC">
      <w:pPr>
        <w:pStyle w:val="Prrafodelista"/>
        <w:tabs>
          <w:tab w:val="left" w:pos="720"/>
        </w:tabs>
        <w:spacing w:after="0"/>
        <w:ind w:left="0"/>
        <w:rPr>
          <w:rFonts w:ascii="Arial" w:hAnsi="Arial" w:cs="Arial"/>
          <w:b/>
          <w:sz w:val="24"/>
          <w:szCs w:val="24"/>
        </w:rPr>
      </w:pPr>
      <w:r w:rsidRPr="00E57FDC">
        <w:rPr>
          <w:rFonts w:ascii="Arial" w:hAnsi="Arial" w:cs="Arial"/>
          <w:b/>
          <w:sz w:val="24"/>
          <w:szCs w:val="24"/>
        </w:rPr>
        <w:t xml:space="preserve">4501 </w:t>
      </w:r>
      <w:r>
        <w:rPr>
          <w:rFonts w:ascii="Arial" w:hAnsi="Arial" w:cs="Arial"/>
          <w:b/>
          <w:sz w:val="24"/>
          <w:szCs w:val="24"/>
        </w:rPr>
        <w:t xml:space="preserve">- </w:t>
      </w:r>
      <w:r w:rsidR="00EB4BE0" w:rsidRPr="00E57FDC">
        <w:rPr>
          <w:rFonts w:ascii="Arial" w:hAnsi="Arial" w:cs="Arial"/>
          <w:b/>
          <w:sz w:val="24"/>
          <w:szCs w:val="24"/>
        </w:rPr>
        <w:t>Componente Gerencia pública basada en resultados y la defensa de lo público</w:t>
      </w:r>
    </w:p>
    <w:p w:rsidR="00EB4BE0" w:rsidRDefault="00E57FDC" w:rsidP="00E57FDC">
      <w:pPr>
        <w:pStyle w:val="Prrafodelista"/>
        <w:tabs>
          <w:tab w:val="left" w:pos="1080"/>
        </w:tabs>
        <w:spacing w:after="0"/>
        <w:ind w:left="0"/>
        <w:rPr>
          <w:rFonts w:ascii="Arial" w:hAnsi="Arial" w:cs="Arial"/>
          <w:b/>
          <w:sz w:val="24"/>
          <w:szCs w:val="24"/>
        </w:rPr>
      </w:pPr>
      <w:r w:rsidRPr="00E57FDC">
        <w:rPr>
          <w:rFonts w:ascii="Arial" w:hAnsi="Arial" w:cs="Arial"/>
          <w:b/>
          <w:sz w:val="24"/>
          <w:szCs w:val="24"/>
        </w:rPr>
        <w:t xml:space="preserve">4501002 </w:t>
      </w:r>
      <w:r>
        <w:rPr>
          <w:rFonts w:ascii="Arial" w:hAnsi="Arial" w:cs="Arial"/>
          <w:b/>
          <w:sz w:val="24"/>
          <w:szCs w:val="24"/>
        </w:rPr>
        <w:t xml:space="preserve">- </w:t>
      </w:r>
      <w:r w:rsidR="00EB4BE0" w:rsidRPr="00E57FDC">
        <w:rPr>
          <w:rFonts w:ascii="Arial" w:hAnsi="Arial" w:cs="Arial"/>
          <w:b/>
          <w:sz w:val="24"/>
          <w:szCs w:val="24"/>
        </w:rPr>
        <w:t>Programa Información de calidad para la planificación territorial</w:t>
      </w:r>
    </w:p>
    <w:p w:rsidR="00E57FDC" w:rsidRPr="00E57FDC" w:rsidRDefault="00E57FDC" w:rsidP="00E57FDC">
      <w:pPr>
        <w:pStyle w:val="Prrafodelista"/>
        <w:tabs>
          <w:tab w:val="left" w:pos="1080"/>
        </w:tabs>
        <w:spacing w:after="0"/>
        <w:ind w:left="0"/>
        <w:rPr>
          <w:rFonts w:ascii="Arial" w:hAnsi="Arial" w:cs="Arial"/>
          <w:b/>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1667"/>
        <w:gridCol w:w="924"/>
        <w:gridCol w:w="606"/>
        <w:gridCol w:w="2047"/>
        <w:gridCol w:w="710"/>
        <w:gridCol w:w="2980"/>
      </w:tblGrid>
      <w:tr w:rsidR="00EB4BE0">
        <w:trPr>
          <w:trHeight w:val="837"/>
          <w:tblHeader/>
        </w:trPr>
        <w:tc>
          <w:tcPr>
            <w:tcW w:w="1667"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 del indicador</w:t>
            </w:r>
          </w:p>
        </w:tc>
        <w:tc>
          <w:tcPr>
            <w:tcW w:w="924"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 de medida</w:t>
            </w:r>
          </w:p>
        </w:tc>
        <w:tc>
          <w:tcPr>
            <w:tcW w:w="606"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Línea base 2015</w:t>
            </w:r>
          </w:p>
        </w:tc>
        <w:tc>
          <w:tcPr>
            <w:tcW w:w="2047"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Meta 2016 -2019</w:t>
            </w:r>
          </w:p>
        </w:tc>
        <w:tc>
          <w:tcPr>
            <w:tcW w:w="710"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2017</w:t>
            </w:r>
          </w:p>
        </w:tc>
        <w:tc>
          <w:tcPr>
            <w:tcW w:w="29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cualitativo</w:t>
            </w:r>
          </w:p>
        </w:tc>
      </w:tr>
      <w:tr w:rsidR="00EB4BE0">
        <w:trPr>
          <w:trHeight w:val="1000"/>
        </w:trPr>
        <w:tc>
          <w:tcPr>
            <w:tcW w:w="1667"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Planes de Desarrollo de nivel territorial y municipal formulados</w:t>
            </w:r>
          </w:p>
        </w:tc>
        <w:tc>
          <w:tcPr>
            <w:tcW w:w="924"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06"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38</w:t>
            </w:r>
          </w:p>
        </w:tc>
        <w:tc>
          <w:tcPr>
            <w:tcW w:w="2047"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2016 - 2019, se formula 1 Plan de Desarrollo Municipal y 37 Planes de Desarrollo Territoriales de Santiago de Cali</w:t>
            </w:r>
          </w:p>
        </w:tc>
        <w:tc>
          <w:tcPr>
            <w:tcW w:w="710"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2980"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En 2016 se formuló el Plan de Desarrollo Municipal. Los 37 Planes de Desarrollo Territoriales se formularán en 2019.</w:t>
            </w:r>
          </w:p>
        </w:tc>
      </w:tr>
      <w:tr w:rsidR="00EB4BE0">
        <w:trPr>
          <w:trHeight w:val="1290"/>
        </w:trPr>
        <w:tc>
          <w:tcPr>
            <w:tcW w:w="166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Planes de Desarrollo de nivel territorial y municipal con seguimiento y evaluación</w:t>
            </w:r>
          </w:p>
        </w:tc>
        <w:tc>
          <w:tcPr>
            <w:tcW w:w="92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06"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38</w:t>
            </w:r>
          </w:p>
        </w:tc>
        <w:tc>
          <w:tcPr>
            <w:tcW w:w="204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2016 - 2019, se realiza el seguimiento y evaluación a los 37 Planes de Desarrollo Territoriales y al Plan de Desarrollo Municipal de Santiago de Cali</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38,0</w:t>
            </w:r>
          </w:p>
        </w:tc>
        <w:tc>
          <w:tcPr>
            <w:tcW w:w="2980"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Se hacen trimestralmente informes de seguimiento a los 38 planes (15 de corregimientos, 22 de comunas y el Plan Municipal de Desarrollo).</w:t>
            </w:r>
          </w:p>
        </w:tc>
      </w:tr>
      <w:tr w:rsidR="00EB4BE0">
        <w:trPr>
          <w:trHeight w:val="1000"/>
        </w:trPr>
        <w:tc>
          <w:tcPr>
            <w:tcW w:w="166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Solicitudes de encuesta Sisbén atendidas</w:t>
            </w:r>
          </w:p>
        </w:tc>
        <w:tc>
          <w:tcPr>
            <w:tcW w:w="92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Porcentaje</w:t>
            </w:r>
          </w:p>
        </w:tc>
        <w:tc>
          <w:tcPr>
            <w:tcW w:w="606"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95,0</w:t>
            </w:r>
          </w:p>
        </w:tc>
        <w:tc>
          <w:tcPr>
            <w:tcW w:w="204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periodo 2016 -2019 se atiende al menos el 95 por ciento de las solicitudes de encuestas recibidas</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94,6</w:t>
            </w:r>
          </w:p>
        </w:tc>
        <w:tc>
          <w:tcPr>
            <w:tcW w:w="2980"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Con corte a junio, la atención de las encuestas se mantiene en el 94,6%.</w:t>
            </w:r>
          </w:p>
        </w:tc>
      </w:tr>
      <w:tr w:rsidR="00EB4BE0">
        <w:trPr>
          <w:trHeight w:val="1247"/>
        </w:trPr>
        <w:tc>
          <w:tcPr>
            <w:tcW w:w="166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Base de datos de estratificación actualizada</w:t>
            </w:r>
          </w:p>
        </w:tc>
        <w:tc>
          <w:tcPr>
            <w:tcW w:w="92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Porcentaje</w:t>
            </w:r>
          </w:p>
        </w:tc>
        <w:tc>
          <w:tcPr>
            <w:tcW w:w="606"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100,0</w:t>
            </w:r>
          </w:p>
        </w:tc>
        <w:tc>
          <w:tcPr>
            <w:tcW w:w="204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2016 - 2019, se mantiene actualizada en 100% la Base de datos de estratificación</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42,0</w:t>
            </w:r>
          </w:p>
        </w:tc>
        <w:tc>
          <w:tcPr>
            <w:tcW w:w="2980"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Conforme a la meta del PDM, se debe actualizar la base de datos cada año (no suma). En 2016 se hizo el 100% del mantenimiento. En el año 2017 se ha actualizado con todas las solicitudes de asignación y revisión de estrato recibidas, alcanzando un avance del 42%.</w:t>
            </w:r>
          </w:p>
        </w:tc>
      </w:tr>
      <w:tr w:rsidR="00EB4BE0">
        <w:trPr>
          <w:trHeight w:val="1000"/>
        </w:trPr>
        <w:tc>
          <w:tcPr>
            <w:tcW w:w="166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Dependencias con asistencia técnica en gestión de proyectos</w:t>
            </w:r>
          </w:p>
        </w:tc>
        <w:tc>
          <w:tcPr>
            <w:tcW w:w="92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06"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18</w:t>
            </w:r>
          </w:p>
        </w:tc>
        <w:tc>
          <w:tcPr>
            <w:tcW w:w="204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periodo 2016 - 2019, se realiza anualmente asistencia técnica a 18 dependencias en gestión de proyectos</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18,0</w:t>
            </w:r>
          </w:p>
        </w:tc>
        <w:tc>
          <w:tcPr>
            <w:tcW w:w="2980"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Permanentemente el equipo del Banco de Proyectos brinda asistencia técnica a todos los organismos de la Alcaldía.</w:t>
            </w:r>
          </w:p>
        </w:tc>
      </w:tr>
      <w:tr w:rsidR="00EB4BE0">
        <w:trPr>
          <w:trHeight w:val="1000"/>
        </w:trPr>
        <w:tc>
          <w:tcPr>
            <w:tcW w:w="166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Herramienta computacional del Banco de Proyectos Modernizada</w:t>
            </w:r>
          </w:p>
        </w:tc>
        <w:tc>
          <w:tcPr>
            <w:tcW w:w="92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Porcentaje</w:t>
            </w:r>
          </w:p>
        </w:tc>
        <w:tc>
          <w:tcPr>
            <w:tcW w:w="606"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0,0</w:t>
            </w:r>
          </w:p>
        </w:tc>
        <w:tc>
          <w:tcPr>
            <w:tcW w:w="204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periodo 2016 - 2017, se moderniza en un 100% la herramienta computacional del banco de proyectos</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0,0</w:t>
            </w:r>
          </w:p>
        </w:tc>
        <w:tc>
          <w:tcPr>
            <w:tcW w:w="2980"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El contrato que permitirá el cumplimiento de esta meta se celebrará en agosto de 2017.</w:t>
            </w:r>
          </w:p>
        </w:tc>
      </w:tr>
      <w:tr w:rsidR="00EB4BE0">
        <w:trPr>
          <w:trHeight w:val="1000"/>
        </w:trPr>
        <w:tc>
          <w:tcPr>
            <w:tcW w:w="166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Infraestructura de Datos Espaciales de Santiago de Cali – IDESC implementada</w:t>
            </w:r>
          </w:p>
        </w:tc>
        <w:tc>
          <w:tcPr>
            <w:tcW w:w="92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Porcentaje</w:t>
            </w:r>
          </w:p>
        </w:tc>
        <w:tc>
          <w:tcPr>
            <w:tcW w:w="606"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73,0</w:t>
            </w:r>
          </w:p>
        </w:tc>
        <w:tc>
          <w:tcPr>
            <w:tcW w:w="204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A diciembre de 2019, se implementa en un 90% la Infraestructura de Datos Espaciales de Santiago de Cali - IDESC</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78,6</w:t>
            </w:r>
          </w:p>
        </w:tc>
        <w:tc>
          <w:tcPr>
            <w:tcW w:w="2980"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La IDESC avanza correctamente conforme a la meta. A junio se completó un avance del 78,6%, y se prevé que al finalizar el año se cumpla con el 82%.</w:t>
            </w:r>
          </w:p>
        </w:tc>
      </w:tr>
      <w:tr w:rsidR="00EB4BE0">
        <w:trPr>
          <w:trHeight w:val="1000"/>
        </w:trPr>
        <w:tc>
          <w:tcPr>
            <w:tcW w:w="166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Red de Control Geodésico de Santiago de Cali operando</w:t>
            </w:r>
          </w:p>
        </w:tc>
        <w:tc>
          <w:tcPr>
            <w:tcW w:w="92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Porcentaje</w:t>
            </w:r>
          </w:p>
        </w:tc>
        <w:tc>
          <w:tcPr>
            <w:tcW w:w="606"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100,0</w:t>
            </w:r>
          </w:p>
        </w:tc>
        <w:tc>
          <w:tcPr>
            <w:tcW w:w="204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2016-2019 está operando en 100% la red de control Geodésico de Santiago de Cali</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0,0</w:t>
            </w:r>
          </w:p>
        </w:tc>
        <w:tc>
          <w:tcPr>
            <w:tcW w:w="2980"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El proceso contractual con el IGAC se encuentra en estudios previos</w:t>
            </w:r>
          </w:p>
        </w:tc>
      </w:tr>
      <w:tr w:rsidR="00EB4BE0">
        <w:trPr>
          <w:trHeight w:val="1247"/>
        </w:trPr>
        <w:tc>
          <w:tcPr>
            <w:tcW w:w="166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Documentos con estadísticas básicas del municipio publicados</w:t>
            </w:r>
          </w:p>
        </w:tc>
        <w:tc>
          <w:tcPr>
            <w:tcW w:w="92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Número</w:t>
            </w:r>
          </w:p>
        </w:tc>
        <w:tc>
          <w:tcPr>
            <w:tcW w:w="606"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3</w:t>
            </w:r>
          </w:p>
        </w:tc>
        <w:tc>
          <w:tcPr>
            <w:tcW w:w="204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2016 - 2019, se publican anualmente al menos tres documentos con estadísticas básicas en el Municipio</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2980"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En 2016 se publicaron: 1) Cali en cifras 2015, 2) Estadísticas básicas del Municipio 2015 y 3) Evaluación del Plan de Desarrollo 2015. En 2017 se publicaron 1) Cali en cifras 2016 y 2) Evaluación del Plan de Desarrollo 2016</w:t>
            </w:r>
          </w:p>
        </w:tc>
      </w:tr>
      <w:tr w:rsidR="00EB4BE0">
        <w:trPr>
          <w:trHeight w:val="696"/>
        </w:trPr>
        <w:tc>
          <w:tcPr>
            <w:tcW w:w="166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Plan Estadístico Territorial implementado</w:t>
            </w:r>
          </w:p>
        </w:tc>
        <w:tc>
          <w:tcPr>
            <w:tcW w:w="92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Porcentaje</w:t>
            </w:r>
          </w:p>
        </w:tc>
        <w:tc>
          <w:tcPr>
            <w:tcW w:w="606"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0,0</w:t>
            </w:r>
          </w:p>
        </w:tc>
        <w:tc>
          <w:tcPr>
            <w:tcW w:w="204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2016 - 2019, se implementa en 100% el Plan Estadístico Territorial</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19,1</w:t>
            </w:r>
          </w:p>
        </w:tc>
        <w:tc>
          <w:tcPr>
            <w:tcW w:w="2980"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El avance del Plan Estadístico Territorial se sitúa en 19,1%</w:t>
            </w:r>
          </w:p>
        </w:tc>
      </w:tr>
      <w:tr w:rsidR="00EB4BE0">
        <w:trPr>
          <w:trHeight w:val="1028"/>
        </w:trPr>
        <w:tc>
          <w:tcPr>
            <w:tcW w:w="166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Expediente municipal actualizado anualmente</w:t>
            </w:r>
          </w:p>
        </w:tc>
        <w:tc>
          <w:tcPr>
            <w:tcW w:w="924"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Porcentaje</w:t>
            </w:r>
          </w:p>
        </w:tc>
        <w:tc>
          <w:tcPr>
            <w:tcW w:w="606"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70,0</w:t>
            </w:r>
          </w:p>
        </w:tc>
        <w:tc>
          <w:tcPr>
            <w:tcW w:w="2047" w:type="dxa"/>
            <w:tcBorders>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período 2016-2019 se actualiza anualmente el 100% del Expediente Municipal</w:t>
            </w:r>
          </w:p>
        </w:tc>
        <w:tc>
          <w:tcPr>
            <w:tcW w:w="710" w:type="dxa"/>
            <w:tcBorders>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0,35</w:t>
            </w:r>
          </w:p>
        </w:tc>
        <w:tc>
          <w:tcPr>
            <w:tcW w:w="2980" w:type="dxa"/>
            <w:tcBorders>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Es una meta de mantenimiento (no suma). Todos los años se debe actualizar el Expediente Municipal. En 2016 se actualizó en 100% y en 2017 se ha actualizado en 35,3%.</w:t>
            </w:r>
          </w:p>
          <w:p w:rsidR="00EB4BE0" w:rsidRDefault="00EB4BE0">
            <w:pPr>
              <w:rPr>
                <w:rFonts w:ascii="Arial" w:eastAsia="Times New Roman" w:hAnsi="Arial" w:cs="Arial"/>
                <w:color w:val="000000"/>
                <w:sz w:val="16"/>
                <w:szCs w:val="16"/>
              </w:rPr>
            </w:pPr>
            <w:r>
              <w:rPr>
                <w:rFonts w:ascii="Arial" w:eastAsia="Times New Roman" w:hAnsi="Arial" w:cs="Arial"/>
                <w:color w:val="000000"/>
                <w:sz w:val="16"/>
                <w:szCs w:val="16"/>
              </w:rPr>
              <w:t>Se priorizaron 108 indicadores para el año 2017. Para su elaboración se requiere la recopilación de datos consolidados en la metadata y la asignación del avance numérico. Para agosto de 2017 se habrá realizado el 100% de la metadata para los 108 indicadores. Por dificultades en la adquisición de la información, se prevé que esta actividad se podrá ejecutar alrededor de un 90%</w:t>
            </w:r>
          </w:p>
        </w:tc>
      </w:tr>
    </w:tbl>
    <w:p w:rsidR="00EB4BE0" w:rsidRDefault="00EB4BE0"/>
    <w:p w:rsidR="00EB4BE0" w:rsidRPr="00E57FDC" w:rsidRDefault="00E57FDC" w:rsidP="00E57FDC">
      <w:pPr>
        <w:pStyle w:val="Prrafodelista"/>
        <w:tabs>
          <w:tab w:val="left" w:pos="720"/>
        </w:tabs>
        <w:spacing w:after="0"/>
        <w:ind w:left="0"/>
        <w:rPr>
          <w:rFonts w:ascii="Arial" w:hAnsi="Arial" w:cs="Arial"/>
          <w:b/>
          <w:sz w:val="24"/>
          <w:szCs w:val="24"/>
        </w:rPr>
      </w:pPr>
      <w:r w:rsidRPr="00E57FDC">
        <w:rPr>
          <w:rFonts w:ascii="Arial" w:hAnsi="Arial" w:cs="Arial"/>
          <w:b/>
          <w:sz w:val="24"/>
          <w:szCs w:val="24"/>
        </w:rPr>
        <w:t xml:space="preserve">4502 </w:t>
      </w:r>
      <w:r>
        <w:rPr>
          <w:rFonts w:ascii="Arial" w:hAnsi="Arial" w:cs="Arial"/>
          <w:b/>
          <w:sz w:val="24"/>
          <w:szCs w:val="24"/>
        </w:rPr>
        <w:t xml:space="preserve">- </w:t>
      </w:r>
      <w:r w:rsidR="00EB4BE0" w:rsidRPr="00E57FDC">
        <w:rPr>
          <w:rFonts w:ascii="Arial" w:hAnsi="Arial" w:cs="Arial"/>
          <w:b/>
          <w:sz w:val="24"/>
          <w:szCs w:val="24"/>
        </w:rPr>
        <w:t>Componente Modernización institucional con transparencia y dignificación del servicio público</w:t>
      </w:r>
    </w:p>
    <w:p w:rsidR="00EB4BE0" w:rsidRDefault="00E57FDC" w:rsidP="00E57FDC">
      <w:pPr>
        <w:pStyle w:val="Prrafodelista"/>
        <w:tabs>
          <w:tab w:val="left" w:pos="1080"/>
        </w:tabs>
        <w:spacing w:after="0"/>
        <w:ind w:left="0"/>
        <w:rPr>
          <w:rFonts w:ascii="Arial" w:hAnsi="Arial" w:cs="Arial"/>
          <w:b/>
          <w:sz w:val="24"/>
          <w:szCs w:val="24"/>
        </w:rPr>
      </w:pPr>
      <w:r w:rsidRPr="00E57FDC">
        <w:rPr>
          <w:rFonts w:ascii="Arial" w:hAnsi="Arial" w:cs="Arial"/>
          <w:b/>
          <w:sz w:val="24"/>
          <w:szCs w:val="24"/>
        </w:rPr>
        <w:t xml:space="preserve">4502001 </w:t>
      </w:r>
      <w:r>
        <w:rPr>
          <w:rFonts w:ascii="Arial" w:hAnsi="Arial" w:cs="Arial"/>
          <w:b/>
          <w:sz w:val="24"/>
          <w:szCs w:val="24"/>
        </w:rPr>
        <w:t xml:space="preserve">- </w:t>
      </w:r>
      <w:r w:rsidR="00EB4BE0" w:rsidRPr="00E57FDC">
        <w:rPr>
          <w:rFonts w:ascii="Arial" w:hAnsi="Arial" w:cs="Arial"/>
          <w:b/>
          <w:sz w:val="24"/>
          <w:szCs w:val="24"/>
        </w:rPr>
        <w:t>Programa Gobierno en línea</w:t>
      </w:r>
    </w:p>
    <w:p w:rsidR="00E57FDC" w:rsidRPr="00E57FDC" w:rsidRDefault="00E57FDC" w:rsidP="00E57FDC">
      <w:pPr>
        <w:pStyle w:val="Prrafodelista"/>
        <w:tabs>
          <w:tab w:val="left" w:pos="1080"/>
        </w:tabs>
        <w:spacing w:after="0"/>
        <w:ind w:left="0"/>
        <w:rPr>
          <w:rFonts w:ascii="Arial" w:hAnsi="Arial" w:cs="Arial"/>
          <w:b/>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1680"/>
        <w:gridCol w:w="924"/>
        <w:gridCol w:w="608"/>
        <w:gridCol w:w="2051"/>
        <w:gridCol w:w="710"/>
        <w:gridCol w:w="2958"/>
      </w:tblGrid>
      <w:tr w:rsidR="00EB4BE0">
        <w:trPr>
          <w:trHeight w:val="172"/>
        </w:trPr>
        <w:tc>
          <w:tcPr>
            <w:tcW w:w="1680"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 del indicador</w:t>
            </w:r>
          </w:p>
        </w:tc>
        <w:tc>
          <w:tcPr>
            <w:tcW w:w="924"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 de medida</w:t>
            </w:r>
          </w:p>
        </w:tc>
        <w:tc>
          <w:tcPr>
            <w:tcW w:w="608"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Línea base 2015</w:t>
            </w:r>
          </w:p>
        </w:tc>
        <w:tc>
          <w:tcPr>
            <w:tcW w:w="2051"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Meta 2016 -2019</w:t>
            </w:r>
          </w:p>
        </w:tc>
        <w:tc>
          <w:tcPr>
            <w:tcW w:w="710" w:type="dxa"/>
            <w:tcBorders>
              <w:top w:val="single" w:sz="4" w:space="0" w:color="000000"/>
              <w:left w:val="single" w:sz="4" w:space="0" w:color="000000"/>
              <w:bottom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2017</w:t>
            </w:r>
          </w:p>
        </w:tc>
        <w:tc>
          <w:tcPr>
            <w:tcW w:w="29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BE0" w:rsidRDefault="00EB4BE0">
            <w:pPr>
              <w:snapToGrid w:val="0"/>
              <w:jc w:val="center"/>
              <w:rPr>
                <w:rFonts w:ascii="Arial" w:eastAsia="Times New Roman" w:hAnsi="Arial" w:cs="Arial"/>
                <w:b/>
                <w:bCs/>
                <w:color w:val="000000"/>
                <w:sz w:val="16"/>
                <w:szCs w:val="16"/>
              </w:rPr>
            </w:pPr>
            <w:r>
              <w:rPr>
                <w:rFonts w:ascii="Arial" w:eastAsia="Times New Roman" w:hAnsi="Arial" w:cs="Arial"/>
                <w:b/>
                <w:bCs/>
                <w:color w:val="000000"/>
                <w:sz w:val="16"/>
                <w:szCs w:val="16"/>
              </w:rPr>
              <w:t>Avance cualitativo</w:t>
            </w:r>
          </w:p>
        </w:tc>
      </w:tr>
      <w:tr w:rsidR="00EB4BE0">
        <w:trPr>
          <w:trHeight w:val="172"/>
        </w:trPr>
        <w:tc>
          <w:tcPr>
            <w:tcW w:w="1680"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Planoteca digital de Planeación, implementada.</w:t>
            </w:r>
          </w:p>
        </w:tc>
        <w:tc>
          <w:tcPr>
            <w:tcW w:w="924"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Porcentaje</w:t>
            </w:r>
          </w:p>
        </w:tc>
        <w:tc>
          <w:tcPr>
            <w:tcW w:w="608"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sz w:val="16"/>
                <w:szCs w:val="16"/>
              </w:rPr>
            </w:pPr>
            <w:r>
              <w:rPr>
                <w:rFonts w:ascii="Arial" w:eastAsia="Times New Roman" w:hAnsi="Arial" w:cs="Arial"/>
                <w:sz w:val="16"/>
                <w:szCs w:val="16"/>
              </w:rPr>
              <w:t>0,0</w:t>
            </w:r>
          </w:p>
        </w:tc>
        <w:tc>
          <w:tcPr>
            <w:tcW w:w="2051" w:type="dxa"/>
            <w:tcBorders>
              <w:top w:val="single" w:sz="4" w:space="0" w:color="000000"/>
              <w:left w:val="single" w:sz="4" w:space="0" w:color="000000"/>
              <w:bottom w:val="single" w:sz="4" w:space="0" w:color="000000"/>
            </w:tcBorders>
            <w:vAlign w:val="center"/>
          </w:tcPr>
          <w:p w:rsidR="00EB4BE0" w:rsidRDefault="00EB4BE0">
            <w:pPr>
              <w:snapToGrid w:val="0"/>
              <w:rPr>
                <w:rFonts w:ascii="Arial" w:eastAsia="Times New Roman" w:hAnsi="Arial" w:cs="Arial"/>
                <w:sz w:val="16"/>
                <w:szCs w:val="16"/>
              </w:rPr>
            </w:pPr>
            <w:r>
              <w:rPr>
                <w:rFonts w:ascii="Arial" w:eastAsia="Times New Roman" w:hAnsi="Arial" w:cs="Arial"/>
                <w:sz w:val="16"/>
                <w:szCs w:val="16"/>
              </w:rPr>
              <w:t>En el periodo 2016-2019 Se implementa en 50%, la Planoteca Digital de Planeación (de una base de datos de 22.800 registros de planos)</w:t>
            </w:r>
          </w:p>
        </w:tc>
        <w:tc>
          <w:tcPr>
            <w:tcW w:w="710" w:type="dxa"/>
            <w:tcBorders>
              <w:top w:val="single" w:sz="4" w:space="0" w:color="000000"/>
              <w:left w:val="single" w:sz="4" w:space="0" w:color="000000"/>
              <w:bottom w:val="single" w:sz="4" w:space="0" w:color="000000"/>
            </w:tcBorders>
            <w:vAlign w:val="center"/>
          </w:tcPr>
          <w:p w:rsidR="00EB4BE0" w:rsidRDefault="00EB4BE0">
            <w:pPr>
              <w:snapToGrid w:val="0"/>
              <w:jc w:val="center"/>
              <w:rPr>
                <w:rFonts w:ascii="Arial" w:eastAsia="Times New Roman" w:hAnsi="Arial" w:cs="Arial"/>
                <w:color w:val="000000"/>
                <w:sz w:val="16"/>
                <w:szCs w:val="16"/>
              </w:rPr>
            </w:pPr>
            <w:r>
              <w:rPr>
                <w:rFonts w:ascii="Arial" w:eastAsia="Times New Roman" w:hAnsi="Arial" w:cs="Arial"/>
                <w:color w:val="000000"/>
                <w:sz w:val="16"/>
                <w:szCs w:val="16"/>
              </w:rPr>
              <w:t>17,2</w:t>
            </w:r>
          </w:p>
        </w:tc>
        <w:tc>
          <w:tcPr>
            <w:tcW w:w="2958" w:type="dxa"/>
            <w:tcBorders>
              <w:top w:val="single" w:sz="4" w:space="0" w:color="000000"/>
              <w:left w:val="single" w:sz="4" w:space="0" w:color="000000"/>
              <w:bottom w:val="single" w:sz="4" w:space="0" w:color="000000"/>
              <w:right w:val="single" w:sz="4" w:space="0" w:color="000000"/>
            </w:tcBorders>
            <w:vAlign w:val="center"/>
          </w:tcPr>
          <w:p w:rsidR="00EB4BE0" w:rsidRDefault="00EB4BE0">
            <w:pPr>
              <w:snapToGrid w:val="0"/>
              <w:rPr>
                <w:rFonts w:ascii="Arial" w:eastAsia="Times New Roman" w:hAnsi="Arial" w:cs="Arial"/>
                <w:color w:val="000000"/>
                <w:sz w:val="16"/>
                <w:szCs w:val="16"/>
              </w:rPr>
            </w:pPr>
            <w:r>
              <w:rPr>
                <w:rFonts w:ascii="Arial" w:eastAsia="Times New Roman" w:hAnsi="Arial" w:cs="Arial"/>
                <w:color w:val="000000"/>
                <w:sz w:val="16"/>
                <w:szCs w:val="16"/>
              </w:rPr>
              <w:t>El avance de la Planoteca Digital va en un avance del 17,2%.</w:t>
            </w:r>
          </w:p>
        </w:tc>
      </w:tr>
    </w:tbl>
    <w:p w:rsidR="00EB4BE0" w:rsidRDefault="00EB4BE0"/>
    <w:p w:rsidR="00EB4BE0" w:rsidRDefault="00EB4BE0">
      <w:pPr>
        <w:pStyle w:val="Prrafodelista"/>
        <w:numPr>
          <w:ilvl w:val="0"/>
          <w:numId w:val="1"/>
        </w:numPr>
        <w:tabs>
          <w:tab w:val="left" w:pos="360"/>
        </w:tabs>
        <w:spacing w:before="240"/>
        <w:rPr>
          <w:rFonts w:ascii="Arial" w:hAnsi="Arial" w:cs="Arial"/>
          <w:b/>
          <w:sz w:val="24"/>
          <w:szCs w:val="24"/>
        </w:rPr>
      </w:pPr>
      <w:r>
        <w:rPr>
          <w:rFonts w:ascii="Arial" w:hAnsi="Arial" w:cs="Arial"/>
          <w:b/>
          <w:sz w:val="24"/>
          <w:szCs w:val="24"/>
        </w:rPr>
        <w:t>EJECUCIÓN PRESUPUESTAL</w:t>
      </w:r>
    </w:p>
    <w:p w:rsidR="00EB4BE0" w:rsidRDefault="00EB4BE0">
      <w:pPr>
        <w:rPr>
          <w:rFonts w:ascii="Arial" w:hAnsi="Arial" w:cs="Arial"/>
        </w:rPr>
      </w:pPr>
      <w:r>
        <w:rPr>
          <w:rFonts w:ascii="Arial" w:hAnsi="Arial" w:cs="Arial"/>
        </w:rPr>
        <w:t>Con corte al 30 de septiembre de 2017, la siguiente es la ejecución presupuestal del Departamento Administrativo de Planeación Municipal, por eje, componente y programa del Plan de desarrollo.</w:t>
      </w:r>
    </w:p>
    <w:p w:rsidR="00EB4BE0" w:rsidRDefault="00EB4BE0">
      <w:pPr>
        <w:rPr>
          <w:rFonts w:ascii="Arial" w:hAnsi="Arial" w:cs="Arial"/>
        </w:rPr>
      </w:pPr>
    </w:p>
    <w:p w:rsidR="00EB4BE0" w:rsidRDefault="00EB4BE0">
      <w:pPr>
        <w:sectPr w:rsidR="00EB4BE0">
          <w:headerReference w:type="default" r:id="rId7"/>
          <w:footerReference w:type="default" r:id="rId8"/>
          <w:footnotePr>
            <w:pos w:val="beneathText"/>
          </w:footnotePr>
          <w:pgSz w:w="12240" w:h="15840"/>
          <w:pgMar w:top="1418" w:right="1701" w:bottom="1418" w:left="1701" w:header="709" w:footer="709" w:gutter="0"/>
          <w:cols w:space="720"/>
          <w:docGrid w:linePitch="360"/>
        </w:sectPr>
      </w:pPr>
    </w:p>
    <w:p w:rsidR="00EB4BE0" w:rsidRDefault="00EB4BE0">
      <w:r>
        <w:object w:dxaOrig="17761" w:dyaOrig="13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417pt" o:ole="" filled="t">
            <v:fill color2="black"/>
            <v:imagedata r:id="rId9" o:title=""/>
          </v:shape>
          <o:OLEObject Type="Embed" ProgID="Excel.Sheet.12" ShapeID="_x0000_i1025" DrawAspect="Content" ObjectID="_1569153185" r:id="rId10"/>
        </w:object>
      </w:r>
    </w:p>
    <w:p w:rsidR="00EB4BE0" w:rsidRDefault="00EB4BE0">
      <w:r>
        <w:object w:dxaOrig="17761" w:dyaOrig="6129">
          <v:shape id="_x0000_i1026" type="#_x0000_t75" style="width:618.75pt;height:192.75pt" o:ole="" filled="t">
            <v:fill color2="black"/>
            <v:imagedata r:id="rId11" o:title=""/>
          </v:shape>
          <o:OLEObject Type="Embed" ProgID="Excel.Sheet.12" ShapeID="_x0000_i1026" DrawAspect="Content" ObjectID="_1569153186" r:id="rId12"/>
        </w:object>
      </w:r>
    </w:p>
    <w:p w:rsidR="00EB4BE0" w:rsidRDefault="00EB4BE0">
      <w:pPr>
        <w:pageBreakBefore/>
        <w:rPr>
          <w:rFonts w:ascii="Arial" w:hAnsi="Arial" w:cs="Arial"/>
        </w:rPr>
        <w:sectPr w:rsidR="00EB4BE0">
          <w:headerReference w:type="even" r:id="rId13"/>
          <w:headerReference w:type="default" r:id="rId14"/>
          <w:footerReference w:type="even" r:id="rId15"/>
          <w:footerReference w:type="default" r:id="rId16"/>
          <w:headerReference w:type="first" r:id="rId17"/>
          <w:footerReference w:type="first" r:id="rId18"/>
          <w:footnotePr>
            <w:pos w:val="beneathText"/>
          </w:footnotePr>
          <w:pgSz w:w="15840" w:h="12240" w:orient="landscape"/>
          <w:pgMar w:top="1474" w:right="1474" w:bottom="1418" w:left="1418" w:header="1418" w:footer="964" w:gutter="0"/>
          <w:cols w:space="720"/>
          <w:docGrid w:linePitch="600" w:charSpace="32768"/>
        </w:sectPr>
      </w:pPr>
      <w:r>
        <w:object w:dxaOrig="17761" w:dyaOrig="13290">
          <v:shape id="_x0000_i1027" type="#_x0000_t75" style="width:616.5pt;height:415.5pt" o:ole="" filled="t">
            <v:fill color2="black"/>
            <v:imagedata r:id="rId19" o:title=""/>
          </v:shape>
          <o:OLEObject Type="Embed" ProgID="Excel.Sheet.12" ShapeID="_x0000_i1027" DrawAspect="Content" ObjectID="_1569153187" r:id="rId20"/>
        </w:object>
      </w:r>
    </w:p>
    <w:p w:rsidR="00EB4BE0" w:rsidRDefault="00EB4BE0">
      <w:pPr>
        <w:rPr>
          <w:rFonts w:ascii="Arial" w:hAnsi="Arial" w:cs="Arial"/>
        </w:rPr>
      </w:pPr>
    </w:p>
    <w:p w:rsidR="00EB4BE0" w:rsidRDefault="008E18C6">
      <w:pPr>
        <w:rPr>
          <w:rFonts w:ascii="Arial" w:hAnsi="Arial" w:cs="Arial"/>
        </w:rPr>
      </w:pPr>
      <w:r>
        <w:rPr>
          <w:rFonts w:ascii="Arial" w:hAnsi="Arial" w:cs="Arial"/>
        </w:rPr>
        <w:t>Según lo acordado entre el Departamento Administrativo de Planeación Municipal y el Dep</w:t>
      </w:r>
      <w:r w:rsidR="00EB4BE0">
        <w:rPr>
          <w:rFonts w:ascii="Arial" w:hAnsi="Arial" w:cs="Arial"/>
        </w:rPr>
        <w:t>a</w:t>
      </w:r>
      <w:r>
        <w:rPr>
          <w:rFonts w:ascii="Arial" w:hAnsi="Arial" w:cs="Arial"/>
        </w:rPr>
        <w:t>rta</w:t>
      </w:r>
      <w:r w:rsidR="00EB4BE0">
        <w:rPr>
          <w:rFonts w:ascii="Arial" w:hAnsi="Arial" w:cs="Arial"/>
        </w:rPr>
        <w:t>mento Administrativo de Hacienda Municipal</w:t>
      </w:r>
      <w:r>
        <w:rPr>
          <w:rFonts w:ascii="Arial" w:hAnsi="Arial" w:cs="Arial"/>
        </w:rPr>
        <w:t>, la anterior ejecución no incluye reservas presupuestales</w:t>
      </w:r>
      <w:r w:rsidR="00EB4BE0">
        <w:rPr>
          <w:rFonts w:ascii="Arial" w:hAnsi="Arial" w:cs="Arial"/>
        </w:rPr>
        <w:t>.</w:t>
      </w:r>
    </w:p>
    <w:p w:rsidR="00EB4BE0" w:rsidRDefault="00EB4BE0">
      <w:pPr>
        <w:jc w:val="both"/>
        <w:rPr>
          <w:rFonts w:ascii="Arial" w:hAnsi="Arial" w:cs="Arial"/>
          <w:lang w:val="es-ES"/>
        </w:rPr>
      </w:pPr>
    </w:p>
    <w:p w:rsidR="00EB4BE0" w:rsidRDefault="00EB4BE0">
      <w:pPr>
        <w:jc w:val="both"/>
        <w:rPr>
          <w:rFonts w:ascii="Arial" w:hAnsi="Arial" w:cs="Arial"/>
          <w:lang w:val="es-ES"/>
        </w:rPr>
      </w:pPr>
    </w:p>
    <w:p w:rsidR="00EB4BE0" w:rsidRDefault="00EB4BE0">
      <w:pPr>
        <w:jc w:val="both"/>
        <w:rPr>
          <w:rFonts w:ascii="Arial" w:hAnsi="Arial" w:cs="Arial"/>
          <w:lang w:val="es-ES"/>
        </w:rPr>
      </w:pPr>
      <w:r>
        <w:rPr>
          <w:rFonts w:ascii="Arial" w:hAnsi="Arial" w:cs="Arial"/>
          <w:lang w:val="es-ES"/>
        </w:rPr>
        <w:t>Atentamente,</w:t>
      </w:r>
    </w:p>
    <w:p w:rsidR="00EB4BE0" w:rsidRDefault="00EB4BE0">
      <w:pPr>
        <w:jc w:val="both"/>
        <w:rPr>
          <w:rFonts w:ascii="Arial" w:hAnsi="Arial" w:cs="Arial"/>
          <w:lang w:val="es-ES"/>
        </w:rPr>
      </w:pPr>
    </w:p>
    <w:p w:rsidR="00EB4BE0" w:rsidRDefault="00EB4BE0">
      <w:pPr>
        <w:jc w:val="both"/>
        <w:rPr>
          <w:rFonts w:ascii="Arial" w:hAnsi="Arial" w:cs="Arial"/>
          <w:lang w:val="es-ES"/>
        </w:rPr>
      </w:pPr>
    </w:p>
    <w:p w:rsidR="00EB4BE0" w:rsidRDefault="00EB4BE0">
      <w:pPr>
        <w:jc w:val="both"/>
        <w:rPr>
          <w:rFonts w:ascii="Arial" w:hAnsi="Arial" w:cs="Arial"/>
          <w:lang w:val="es-ES"/>
        </w:rPr>
      </w:pPr>
    </w:p>
    <w:p w:rsidR="00EB4BE0" w:rsidRDefault="00EB4BE0">
      <w:pPr>
        <w:jc w:val="both"/>
        <w:rPr>
          <w:rFonts w:ascii="Arial" w:hAnsi="Arial" w:cs="Arial"/>
          <w:lang w:val="es-ES"/>
        </w:rPr>
      </w:pPr>
    </w:p>
    <w:p w:rsidR="00EB4BE0" w:rsidRDefault="00EB4BE0">
      <w:pPr>
        <w:jc w:val="both"/>
        <w:rPr>
          <w:rFonts w:ascii="Arial" w:hAnsi="Arial" w:cs="Arial"/>
          <w:lang w:val="es-ES"/>
        </w:rPr>
      </w:pPr>
    </w:p>
    <w:p w:rsidR="00EB4BE0" w:rsidRDefault="00EB4BE0">
      <w:pPr>
        <w:jc w:val="both"/>
        <w:rPr>
          <w:rFonts w:ascii="Arial" w:hAnsi="Arial" w:cs="Arial"/>
          <w:lang w:val="es-ES"/>
        </w:rPr>
      </w:pPr>
    </w:p>
    <w:p w:rsidR="00EB4BE0" w:rsidRDefault="00EB4BE0">
      <w:pPr>
        <w:jc w:val="both"/>
        <w:rPr>
          <w:rFonts w:ascii="Arial" w:hAnsi="Arial" w:cs="Arial"/>
          <w:lang w:val="es-ES"/>
        </w:rPr>
      </w:pPr>
      <w:r>
        <w:rPr>
          <w:rFonts w:ascii="Arial" w:hAnsi="Arial" w:cs="Arial"/>
          <w:lang w:val="es-ES"/>
        </w:rPr>
        <w:t>JORGE IVÁN ZAPATA LÓPEZ</w:t>
      </w:r>
    </w:p>
    <w:p w:rsidR="00EB4BE0" w:rsidRDefault="00EB4BE0">
      <w:pPr>
        <w:jc w:val="both"/>
        <w:rPr>
          <w:rFonts w:ascii="Arial" w:hAnsi="Arial" w:cs="Arial"/>
          <w:lang w:val="es-ES"/>
        </w:rPr>
      </w:pPr>
      <w:r>
        <w:rPr>
          <w:rFonts w:ascii="Arial" w:hAnsi="Arial" w:cs="Arial"/>
          <w:lang w:val="es-ES"/>
        </w:rPr>
        <w:t>Director</w:t>
      </w:r>
    </w:p>
    <w:p w:rsidR="00EB4BE0" w:rsidRDefault="00EB4BE0">
      <w:pPr>
        <w:jc w:val="both"/>
        <w:rPr>
          <w:rFonts w:ascii="Arial" w:hAnsi="Arial" w:cs="Arial"/>
          <w:lang w:val="es-ES"/>
        </w:rPr>
      </w:pPr>
      <w:r>
        <w:rPr>
          <w:rFonts w:ascii="Arial" w:hAnsi="Arial" w:cs="Arial"/>
          <w:lang w:val="es-ES"/>
        </w:rPr>
        <w:t>Departamento Administrativo de Planeación Municipal.</w:t>
      </w:r>
    </w:p>
    <w:p w:rsidR="00EB4BE0" w:rsidRDefault="00EB4BE0">
      <w:pPr>
        <w:jc w:val="both"/>
        <w:rPr>
          <w:rFonts w:ascii="Arial" w:hAnsi="Arial" w:cs="Arial"/>
          <w:lang w:val="es-ES"/>
        </w:rPr>
      </w:pPr>
    </w:p>
    <w:p w:rsidR="00EB4BE0" w:rsidRDefault="00EB4BE0">
      <w:pPr>
        <w:jc w:val="both"/>
        <w:rPr>
          <w:rFonts w:ascii="Arial" w:hAnsi="Arial" w:cs="Arial"/>
          <w:sz w:val="16"/>
          <w:szCs w:val="16"/>
          <w:lang w:val="es-ES"/>
        </w:rPr>
      </w:pPr>
      <w:r>
        <w:rPr>
          <w:rFonts w:ascii="Arial" w:hAnsi="Arial" w:cs="Arial"/>
          <w:sz w:val="16"/>
          <w:szCs w:val="16"/>
          <w:lang w:val="es-ES"/>
        </w:rPr>
        <w:t>Proyectó:</w:t>
      </w:r>
      <w:r>
        <w:rPr>
          <w:rFonts w:ascii="Arial" w:hAnsi="Arial" w:cs="Arial"/>
          <w:sz w:val="16"/>
          <w:szCs w:val="16"/>
          <w:lang w:val="es-ES"/>
        </w:rPr>
        <w:tab/>
        <w:t>Santiago Echeverri Cadavid – Profesional Contratista</w:t>
      </w:r>
    </w:p>
    <w:p w:rsidR="004C7BC1" w:rsidRDefault="004C7BC1">
      <w:pPr>
        <w:jc w:val="both"/>
        <w:rPr>
          <w:rFonts w:ascii="Arial" w:hAnsi="Arial" w:cs="Arial"/>
          <w:sz w:val="16"/>
          <w:szCs w:val="16"/>
          <w:lang w:val="es-ES"/>
        </w:rPr>
      </w:pPr>
      <w:r>
        <w:rPr>
          <w:rFonts w:ascii="Arial" w:hAnsi="Arial" w:cs="Arial"/>
          <w:sz w:val="16"/>
          <w:szCs w:val="16"/>
          <w:lang w:val="es-ES"/>
        </w:rPr>
        <w:t>Revisó:    Steffany Lizzette Escobar Rincón – Jefe de Oficina Unidad de Apoyo a la Gestión</w:t>
      </w:r>
    </w:p>
    <w:p w:rsidR="00EB4BE0" w:rsidRDefault="00EB4BE0">
      <w:pPr>
        <w:jc w:val="both"/>
      </w:pPr>
      <w:r>
        <w:rPr>
          <w:rFonts w:ascii="Arial" w:hAnsi="Arial" w:cs="Arial"/>
          <w:sz w:val="16"/>
          <w:szCs w:val="16"/>
          <w:lang w:val="es-ES"/>
        </w:rPr>
        <w:t>Revisò:</w:t>
      </w:r>
      <w:r>
        <w:rPr>
          <w:rFonts w:ascii="Arial" w:hAnsi="Arial" w:cs="Arial"/>
          <w:sz w:val="16"/>
          <w:szCs w:val="16"/>
          <w:lang w:val="es-ES"/>
        </w:rPr>
        <w:tab/>
        <w:t xml:space="preserve"> Steffany Lizzette Escobar Rincón – Jefe de Oficina Unidad de Apoyo a la Gestión</w:t>
      </w:r>
    </w:p>
    <w:sectPr w:rsidR="00EB4BE0">
      <w:headerReference w:type="even" r:id="rId21"/>
      <w:headerReference w:type="default" r:id="rId22"/>
      <w:footerReference w:type="even" r:id="rId23"/>
      <w:footerReference w:type="default" r:id="rId24"/>
      <w:headerReference w:type="first" r:id="rId25"/>
      <w:footerReference w:type="first" r:id="rId26"/>
      <w:footnotePr>
        <w:pos w:val="beneathText"/>
      </w:footnotePr>
      <w:pgSz w:w="12240" w:h="15840"/>
      <w:pgMar w:top="1474" w:right="1418" w:bottom="1418" w:left="1418" w:header="1418" w:footer="96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200" w:rsidRDefault="00856200">
      <w:r>
        <w:separator/>
      </w:r>
    </w:p>
  </w:endnote>
  <w:endnote w:type="continuationSeparator" w:id="0">
    <w:p w:rsidR="00856200" w:rsidRDefault="0085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DejaVu Sans">
    <w:charset w:val="00"/>
    <w:family w:val="swiss"/>
    <w:pitch w:val="variable"/>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Free 3 of 9">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EB4BE0">
    <w:pPr>
      <w:pStyle w:val="Piedepgina"/>
      <w:jc w:val="center"/>
      <w:rPr>
        <w:rFonts w:ascii="Arial" w:hAnsi="Arial" w:cs="Arial"/>
        <w:sz w:val="19"/>
        <w:szCs w:val="19"/>
      </w:rPr>
    </w:pPr>
  </w:p>
  <w:p w:rsidR="00EB4BE0" w:rsidRDefault="00EB4BE0">
    <w:pPr>
      <w:pStyle w:val="Piedepgina"/>
      <w:jc w:val="center"/>
      <w:rPr>
        <w:rFonts w:ascii="Arial" w:hAnsi="Arial" w:cs="Arial"/>
        <w:sz w:val="19"/>
        <w:szCs w:val="19"/>
      </w:rPr>
    </w:pPr>
    <w:r>
      <w:rPr>
        <w:rFonts w:ascii="Arial" w:hAnsi="Arial" w:cs="Arial"/>
        <w:sz w:val="19"/>
        <w:szCs w:val="19"/>
      </w:rPr>
      <w:t>Centro Administrativo Municipal CAM Torre Alcaldía Piso 10 Teléfono: 6689100  Fax 8895630</w:t>
    </w:r>
  </w:p>
  <w:p w:rsidR="00EB4BE0" w:rsidRDefault="00EB4BE0">
    <w:pPr>
      <w:pStyle w:val="Piedepgina"/>
      <w:jc w:val="center"/>
      <w:rPr>
        <w:rFonts w:ascii="Arial" w:hAnsi="Arial" w:cs="Arial"/>
        <w:sz w:val="19"/>
        <w:szCs w:val="19"/>
      </w:rPr>
    </w:pPr>
    <w:r>
      <w:rPr>
        <w:rFonts w:ascii="Arial" w:hAnsi="Arial" w:cs="Arial"/>
        <w:sz w:val="19"/>
        <w:szCs w:val="19"/>
      </w:rPr>
      <w:t>www.cali.gov.co</w:t>
    </w:r>
  </w:p>
  <w:p w:rsidR="00EB4BE0" w:rsidRDefault="00EB4B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EB4B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EB4BE0">
    <w:pPr>
      <w:pStyle w:val="Piedepgina"/>
      <w:jc w:val="center"/>
      <w:rPr>
        <w:rFonts w:ascii="Arial" w:hAnsi="Arial" w:cs="Arial"/>
        <w:sz w:val="19"/>
        <w:szCs w:val="19"/>
      </w:rPr>
    </w:pPr>
    <w:r>
      <w:rPr>
        <w:rFonts w:ascii="Arial" w:hAnsi="Arial" w:cs="Arial"/>
        <w:sz w:val="19"/>
        <w:szCs w:val="19"/>
      </w:rPr>
      <w:t>Centro Administrativo Municipal CAM Torre Alcaldía Piso 10 Teléfono: 6689100  Fax 8895630</w:t>
    </w:r>
  </w:p>
  <w:p w:rsidR="00EB4BE0" w:rsidRDefault="00EB4BE0">
    <w:pPr>
      <w:pStyle w:val="Piedepgina"/>
      <w:jc w:val="center"/>
      <w:rPr>
        <w:rFonts w:ascii="Arial" w:hAnsi="Arial" w:cs="Arial"/>
        <w:sz w:val="19"/>
        <w:szCs w:val="19"/>
      </w:rPr>
    </w:pPr>
    <w:r>
      <w:rPr>
        <w:rFonts w:ascii="Arial" w:hAnsi="Arial" w:cs="Arial"/>
        <w:sz w:val="19"/>
        <w:szCs w:val="19"/>
      </w:rPr>
      <w:t>www.cali.gov.co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EB4B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EB4BE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EB4BE0">
    <w:pPr>
      <w:pStyle w:val="Piedepgina"/>
      <w:jc w:val="center"/>
      <w:rPr>
        <w:rFonts w:ascii="Arial" w:hAnsi="Arial" w:cs="Arial"/>
        <w:sz w:val="19"/>
        <w:szCs w:val="19"/>
      </w:rPr>
    </w:pPr>
    <w:r>
      <w:rPr>
        <w:rFonts w:ascii="Arial" w:hAnsi="Arial" w:cs="Arial"/>
        <w:sz w:val="19"/>
        <w:szCs w:val="19"/>
      </w:rPr>
      <w:t>Centro Administrativo Municipal CAM Torre Alcaldía Piso 10 Teléfono: 6689100  Fax 8895630</w:t>
    </w:r>
  </w:p>
  <w:p w:rsidR="00EB4BE0" w:rsidRDefault="00EB4BE0">
    <w:pPr>
      <w:pStyle w:val="Piedepgina"/>
      <w:jc w:val="center"/>
      <w:rPr>
        <w:rFonts w:ascii="Arial" w:hAnsi="Arial" w:cs="Arial"/>
        <w:sz w:val="19"/>
        <w:szCs w:val="19"/>
      </w:rPr>
    </w:pPr>
    <w:r>
      <w:rPr>
        <w:rFonts w:ascii="Arial" w:hAnsi="Arial" w:cs="Arial"/>
        <w:sz w:val="19"/>
        <w:szCs w:val="19"/>
      </w:rPr>
      <w:t>www.cali.gov.co</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EB4B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200" w:rsidRDefault="00856200">
      <w:r>
        <w:separator/>
      </w:r>
    </w:p>
  </w:footnote>
  <w:footnote w:type="continuationSeparator" w:id="0">
    <w:p w:rsidR="00856200" w:rsidRDefault="0085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7E670B">
    <w:pPr>
      <w:pStyle w:val="Encabezado"/>
      <w:rPr>
        <w:lang w:val="es-CO"/>
      </w:rPr>
    </w:pPr>
    <w:r>
      <w:rPr>
        <w:noProof/>
      </w:rPr>
      <w:drawing>
        <wp:anchor distT="0" distB="0" distL="0" distR="0" simplePos="0" relativeHeight="251657728" behindDoc="0" locked="0" layoutInCell="1" allowOverlap="1">
          <wp:simplePos x="0" y="0"/>
          <wp:positionH relativeFrom="column">
            <wp:posOffset>-214630</wp:posOffset>
          </wp:positionH>
          <wp:positionV relativeFrom="paragraph">
            <wp:posOffset>22225</wp:posOffset>
          </wp:positionV>
          <wp:extent cx="1431290" cy="11557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1155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EB4B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7E670B">
    <w:pPr>
      <w:pStyle w:val="Encabezado"/>
      <w:rPr>
        <w:sz w:val="22"/>
        <w:szCs w:val="22"/>
      </w:rPr>
    </w:pPr>
    <w:r>
      <w:rPr>
        <w:noProof/>
      </w:rPr>
      <w:drawing>
        <wp:anchor distT="0" distB="0" distL="0" distR="0" simplePos="0" relativeHeight="251656704" behindDoc="0" locked="0" layoutInCell="1" allowOverlap="1">
          <wp:simplePos x="0" y="0"/>
          <wp:positionH relativeFrom="column">
            <wp:posOffset>-187325</wp:posOffset>
          </wp:positionH>
          <wp:positionV relativeFrom="paragraph">
            <wp:posOffset>-581025</wp:posOffset>
          </wp:positionV>
          <wp:extent cx="1431290" cy="11557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1155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B4BE0" w:rsidRDefault="00EB4BE0">
    <w:pPr>
      <w:pStyle w:val="Encabezado"/>
      <w:rPr>
        <w:sz w:val="22"/>
        <w:szCs w:val="22"/>
      </w:rPr>
    </w:pPr>
  </w:p>
  <w:p w:rsidR="00EB4BE0" w:rsidRDefault="00EB4BE0">
    <w:pPr>
      <w:pStyle w:val="Encabezado"/>
      <w:rPr>
        <w:sz w:val="22"/>
        <w:szCs w:val="22"/>
      </w:rPr>
    </w:pPr>
  </w:p>
  <w:p w:rsidR="00EB4BE0" w:rsidRDefault="00EB4BE0">
    <w:pPr>
      <w:pStyle w:val="Encabezado"/>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EB4B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EB4B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7E670B">
    <w:pPr>
      <w:pStyle w:val="Encabezado"/>
      <w:rPr>
        <w:sz w:val="22"/>
        <w:szCs w:val="22"/>
      </w:rPr>
    </w:pPr>
    <w:r>
      <w:rPr>
        <w:noProof/>
      </w:rPr>
      <w:drawing>
        <wp:anchor distT="0" distB="0" distL="0" distR="0" simplePos="0" relativeHeight="251658752" behindDoc="0" locked="0" layoutInCell="1" allowOverlap="1">
          <wp:simplePos x="0" y="0"/>
          <wp:positionH relativeFrom="column">
            <wp:posOffset>-187325</wp:posOffset>
          </wp:positionH>
          <wp:positionV relativeFrom="paragraph">
            <wp:posOffset>-581025</wp:posOffset>
          </wp:positionV>
          <wp:extent cx="1431290" cy="115570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1155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B4BE0" w:rsidRDefault="00EB4BE0">
    <w:pPr>
      <w:pStyle w:val="Encabezado"/>
      <w:rPr>
        <w:sz w:val="22"/>
        <w:szCs w:val="22"/>
      </w:rPr>
    </w:pPr>
  </w:p>
  <w:p w:rsidR="00EB4BE0" w:rsidRDefault="00EB4BE0">
    <w:pPr>
      <w:pStyle w:val="Encabezado"/>
      <w:rPr>
        <w:sz w:val="22"/>
        <w:szCs w:val="22"/>
      </w:rPr>
    </w:pPr>
  </w:p>
  <w:p w:rsidR="00EB4BE0" w:rsidRDefault="00EB4BE0">
    <w:pPr>
      <w:pStyle w:val="Encabezado"/>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E0" w:rsidRDefault="00EB4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525"/>
        </w:tabs>
        <w:ind w:left="525" w:hanging="525"/>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2"/>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C1"/>
    <w:rsid w:val="001613FA"/>
    <w:rsid w:val="001B271F"/>
    <w:rsid w:val="004C7BC1"/>
    <w:rsid w:val="007E670B"/>
    <w:rsid w:val="00856200"/>
    <w:rsid w:val="008E18C6"/>
    <w:rsid w:val="00E57FDC"/>
    <w:rsid w:val="00EB4B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B20A15-2402-4540-B1E6-09F7FB4E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kern w:val="1"/>
      <w:sz w:val="24"/>
      <w:szCs w:val="24"/>
      <w:lang w:eastAsia="ar-SA"/>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TextodegloboCar">
    <w:name w:val="Texto de globo Car"/>
    <w:rPr>
      <w:rFonts w:ascii="Segoe UI" w:eastAsia="Arial Unicode MS" w:hAnsi="Segoe UI" w:cs="Segoe UI"/>
      <w:kern w:val="1"/>
      <w:sz w:val="18"/>
      <w:szCs w:val="18"/>
    </w:rPr>
  </w:style>
  <w:style w:type="paragraph" w:customStyle="1" w:styleId="Heading">
    <w:name w:val="Heading"/>
    <w:basedOn w:val="Normal"/>
    <w:next w:val="Textoindependiente"/>
    <w:pPr>
      <w:keepNext/>
      <w:spacing w:before="240" w:after="120"/>
    </w:pPr>
    <w:rPr>
      <w:rFonts w:ascii="Liberation Sans" w:eastAsia="DejaVu Sans" w:hAnsi="Liberation Sans" w:cs="DejaVu Sans"/>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ascii="Calisto MT" w:hAnsi="Calisto MT" w:cs="Tahoma"/>
    </w:rPr>
  </w:style>
  <w:style w:type="paragraph" w:customStyle="1"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Arial"/>
      <w:sz w:val="28"/>
      <w:szCs w:val="28"/>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Encabezado">
    <w:name w:val="header"/>
    <w:basedOn w:val="Normal"/>
    <w:semiHidden/>
    <w:pPr>
      <w:suppressLineNumbers/>
      <w:tabs>
        <w:tab w:val="center" w:pos="4818"/>
        <w:tab w:val="right" w:pos="9637"/>
      </w:tabs>
    </w:pPr>
  </w:style>
  <w:style w:type="paragraph" w:styleId="Piedepgina">
    <w:name w:val="footer"/>
    <w:basedOn w:val="Normal"/>
    <w:semiHidden/>
    <w:pPr>
      <w:suppressLineNumbers/>
      <w:tabs>
        <w:tab w:val="center" w:pos="4818"/>
        <w:tab w:val="right" w:pos="9637"/>
      </w:tabs>
    </w:pPr>
  </w:style>
  <w:style w:type="paragraph" w:customStyle="1" w:styleId="Contenidodelmarco">
    <w:name w:val="Contenido del marco"/>
    <w:basedOn w:val="Textoindependiente"/>
  </w:style>
  <w:style w:type="paragraph" w:styleId="Sinespaciado">
    <w:name w:val="No Spacing"/>
    <w:qFormat/>
    <w:pPr>
      <w:suppressAutoHyphens/>
    </w:pPr>
    <w:rPr>
      <w:rFonts w:ascii="Calibri" w:eastAsia="Calibri" w:hAnsi="Calibri"/>
      <w:sz w:val="22"/>
      <w:szCs w:val="22"/>
      <w:lang w:val="es-ES_tradnl" w:eastAsia="ar-SA"/>
    </w:rPr>
  </w:style>
  <w:style w:type="paragraph" w:styleId="Textodeglobo">
    <w:name w:val="Balloon Text"/>
    <w:basedOn w:val="Normal"/>
    <w:rPr>
      <w:rFonts w:ascii="Segoe UI" w:hAnsi="Segoe UI" w:cs="Segoe UI"/>
      <w:sz w:val="18"/>
      <w:szCs w:val="18"/>
    </w:rPr>
  </w:style>
  <w:style w:type="paragraph" w:styleId="Prrafodelista">
    <w:name w:val="List Paragraph"/>
    <w:basedOn w:val="Normal"/>
    <w:qFormat/>
    <w:pPr>
      <w:widowControl/>
      <w:suppressAutoHyphens w:val="0"/>
      <w:spacing w:after="160" w:line="254" w:lineRule="auto"/>
      <w:ind w:left="720"/>
    </w:pPr>
    <w:rPr>
      <w:rFonts w:ascii="Calibri" w:eastAsia="Calibri" w:hAnsi="Calibri"/>
      <w:sz w:val="22"/>
      <w:szCs w:val="22"/>
    </w:rPr>
  </w:style>
  <w:style w:type="paragraph" w:customStyle="1" w:styleId="Framecontents">
    <w:name w:val="Frame contents"/>
    <w:basedOn w:val="Textoindependiente"/>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package" Target="embeddings/Microsoft_Excel_Worksheet1.xlsx"/><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package" Target="embeddings/Microsoft_Excel_Worksheet2.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package" Target="embeddings/Microsoft_Excel_Worksheet.xlsx"/><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3368</Words>
  <Characters>18527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de Cali Gestion Documental</dc:creator>
  <cp:keywords/>
  <cp:lastModifiedBy>Santiago Echeverri Cadavid</cp:lastModifiedBy>
  <cp:revision>3</cp:revision>
  <cp:lastPrinted>2017-10-06T22:11:00Z</cp:lastPrinted>
  <dcterms:created xsi:type="dcterms:W3CDTF">2017-10-10T20:06:00Z</dcterms:created>
  <dcterms:modified xsi:type="dcterms:W3CDTF">2017-10-10T20:07:00Z</dcterms:modified>
</cp:coreProperties>
</file>